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8E5ED" w14:textId="1BE6E2FB" w:rsidR="00F12DD7" w:rsidRDefault="00F00F27" w:rsidP="00F12DD7">
      <w:pPr>
        <w:pStyle w:val="BodyText"/>
      </w:pPr>
      <w:bookmarkStart w:id="0" w:name="_GoBack"/>
      <w:bookmarkEnd w:id="0"/>
      <w:r>
        <w:rPr>
          <w:noProof/>
          <w:lang w:eastAsia="en-GB"/>
        </w:rPr>
        <w:drawing>
          <wp:anchor distT="0" distB="0" distL="114300" distR="114300" simplePos="0" relativeHeight="251653632" behindDoc="1" locked="0" layoutInCell="1" allowOverlap="1" wp14:anchorId="6607ABFD" wp14:editId="527541DA">
            <wp:simplePos x="0" y="0"/>
            <wp:positionH relativeFrom="column">
              <wp:posOffset>-1428750</wp:posOffset>
            </wp:positionH>
            <wp:positionV relativeFrom="paragraph">
              <wp:posOffset>-720091</wp:posOffset>
            </wp:positionV>
            <wp:extent cx="8232348" cy="3609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49408" cy="3617456"/>
                    </a:xfrm>
                    <a:prstGeom prst="rect">
                      <a:avLst/>
                    </a:prstGeom>
                  </pic:spPr>
                </pic:pic>
              </a:graphicData>
            </a:graphic>
            <wp14:sizeRelH relativeFrom="page">
              <wp14:pctWidth>0</wp14:pctWidth>
            </wp14:sizeRelH>
            <wp14:sizeRelV relativeFrom="page">
              <wp14:pctHeight>0</wp14:pctHeight>
            </wp14:sizeRelV>
          </wp:anchor>
        </w:drawing>
      </w:r>
      <w:r w:rsidR="005A1F44" w:rsidRPr="00A87365">
        <w:rPr>
          <w:noProof/>
          <w:lang w:eastAsia="en-GB"/>
        </w:rPr>
        <mc:AlternateContent>
          <mc:Choice Requires="wps">
            <w:drawing>
              <wp:anchor distT="0" distB="0" distL="114300" distR="114300" simplePos="0" relativeHeight="251658752" behindDoc="1" locked="0" layoutInCell="0" allowOverlap="1" wp14:anchorId="1C05EA6A" wp14:editId="776C35F6">
                <wp:simplePos x="0" y="0"/>
                <wp:positionH relativeFrom="page">
                  <wp:align>left</wp:align>
                </wp:positionH>
                <wp:positionV relativeFrom="page">
                  <wp:align>bottom</wp:align>
                </wp:positionV>
                <wp:extent cx="7560310" cy="9088310"/>
                <wp:effectExtent l="0" t="0" r="2540" b="0"/>
                <wp:wrapNone/>
                <wp:docPr id="8"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088310"/>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3381B" id="CoverLowerHalfBlue" o:spid="_x0000_s1026" style="position:absolute;margin-left:0;margin-top:0;width:595.3pt;height:715.6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2hexUAAAR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" o:allowincell="f" path="m8174978,6879381l5720,6883651c12642,4584614,-5303,2299037,1619,l8186652,1518580e" fillcolor="#00b5e2 [3204]" stroked="f" strokeweight="2pt">
                <v:path arrowok="t" o:connecttype="custom" o:connectlocs="7549529,9082672;5282,9088310;1495,0;7560310,2004943" o:connectangles="0,0,0,0"/>
                <w10:wrap anchorx="page" anchory="page"/>
              </v:shape>
            </w:pict>
          </mc:Fallback>
        </mc:AlternateContent>
      </w:r>
      <w:r w:rsidR="005A1F44">
        <w:rPr>
          <w:noProof/>
          <w:lang w:eastAsia="en-GB"/>
        </w:rPr>
        <w:drawing>
          <wp:anchor distT="0" distB="0" distL="114300" distR="114300" simplePos="0" relativeHeight="251659776" behindDoc="0" locked="0" layoutInCell="1" allowOverlap="1" wp14:anchorId="2933038A" wp14:editId="478CE997">
            <wp:simplePos x="0" y="0"/>
            <wp:positionH relativeFrom="rightMargin">
              <wp:posOffset>-1043940</wp:posOffset>
            </wp:positionH>
            <wp:positionV relativeFrom="page">
              <wp:posOffset>360045</wp:posOffset>
            </wp:positionV>
            <wp:extent cx="1620000" cy="238320"/>
            <wp:effectExtent l="0" t="0" r="0" b="9525"/>
            <wp:wrapNone/>
            <wp:docPr id="9" name="AECOMLogo" descr="aecom_imagineit_reverse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OMLogo" descr="aecom_imagineit_reverse_1mm_border_v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238320"/>
                    </a:xfrm>
                    <a:prstGeom prst="rect">
                      <a:avLst/>
                    </a:prstGeom>
                    <a:noFill/>
                  </pic:spPr>
                </pic:pic>
              </a:graphicData>
            </a:graphic>
            <wp14:sizeRelH relativeFrom="page">
              <wp14:pctWidth>0</wp14:pctWidth>
            </wp14:sizeRelH>
            <wp14:sizeRelV relativeFrom="page">
              <wp14:pctHeight>0</wp14:pctHeight>
            </wp14:sizeRelV>
          </wp:anchor>
        </w:drawing>
      </w:r>
      <w:r w:rsidR="00F12DD7">
        <w:rPr>
          <w:noProof/>
          <w:lang w:eastAsia="en-GB"/>
        </w:rPr>
        <mc:AlternateContent>
          <mc:Choice Requires="wps">
            <w:drawing>
              <wp:anchor distT="0" distB="0" distL="114300" distR="114300" simplePos="0" relativeHeight="251657728" behindDoc="0" locked="0" layoutInCell="0" allowOverlap="1" wp14:anchorId="5B17BBF2" wp14:editId="03EA2684">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p w14:paraId="4C777854" w14:textId="6D55F07A" w:rsidR="00465696" w:rsidRPr="00F74319" w:rsidRDefault="00465696" w:rsidP="00F83749">
                            <w:pPr>
                              <w:pStyle w:val="Subtitleheading"/>
                              <w:rPr>
                                <w:b/>
                                <w:sz w:val="36"/>
                                <w:szCs w:val="36"/>
                              </w:rPr>
                            </w:pPr>
                            <w:r>
                              <w:rPr>
                                <w:b/>
                                <w:color w:val="FFFFFF"/>
                                <w:sz w:val="36"/>
                                <w:szCs w:val="36"/>
                              </w:rPr>
                              <w:t>Draft for Comment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overAdditionalCompany" o:spid="_x0000_s1026" type="#_x0000_t202" style="position:absolute;margin-left:0;margin-top:28.45pt;width:337.4pt;height:15.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p w14:paraId="4C777854" w14:textId="6D55F07A" w:rsidR="00465696" w:rsidRPr="00F74319" w:rsidRDefault="00465696" w:rsidP="00F83749">
                      <w:pPr>
                        <w:pStyle w:val="Subtitleheading"/>
                        <w:rPr>
                          <w:b/>
                          <w:sz w:val="36"/>
                          <w:szCs w:val="36"/>
                        </w:rPr>
                      </w:pPr>
                      <w:r>
                        <w:rPr>
                          <w:b/>
                          <w:color w:val="FFFFFF"/>
                          <w:sz w:val="36"/>
                          <w:szCs w:val="36"/>
                        </w:rPr>
                        <w:t>Draft for Comment</w:t>
                      </w:r>
                    </w:p>
                  </w:txbxContent>
                </v:textbox>
                <w10:wrap anchory="page"/>
              </v:shape>
            </w:pict>
          </mc:Fallback>
        </mc:AlternateContent>
      </w:r>
    </w:p>
    <w:p w14:paraId="29F9B4A1" w14:textId="282737A2" w:rsidR="00F12DD7" w:rsidRDefault="00606621" w:rsidP="00F12DD7">
      <w:pPr>
        <w:pStyle w:val="BodyText"/>
      </w:pPr>
      <w:r>
        <w:rPr>
          <w:noProof/>
          <w:lang w:eastAsia="en-GB"/>
        </w:rPr>
        <mc:AlternateContent>
          <mc:Choice Requires="wps">
            <w:drawing>
              <wp:anchor distT="0" distB="0" distL="114300" distR="114300" simplePos="0" relativeHeight="251654656" behindDoc="0" locked="0" layoutInCell="0" allowOverlap="1" wp14:anchorId="581DF15E" wp14:editId="48D45591">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27"/>
                              <w:gridCol w:w="2884"/>
                              <w:gridCol w:w="3533"/>
                            </w:tblGrid>
                            <w:tr w:rsidR="00465696" w:rsidRPr="005A1F44" w14:paraId="00987BF1" w14:textId="77777777" w:rsidTr="00606621">
                              <w:trPr>
                                <w:trHeight w:val="1554"/>
                              </w:trPr>
                              <w:tc>
                                <w:tcPr>
                                  <w:tcW w:w="2635" w:type="dxa"/>
                                  <w:vAlign w:val="bottom"/>
                                </w:tcPr>
                                <w:bookmarkStart w:id="1" w:name="Cover3" w:colFirst="0" w:colLast="2"/>
                                <w:bookmarkStart w:id="2" w:name="CoverTable2"/>
                                <w:p w14:paraId="7D803232" w14:textId="77777777" w:rsidR="00465696" w:rsidRPr="005A1F44" w:rsidRDefault="00465696" w:rsidP="008A19FD">
                                  <w:pPr>
                                    <w:pStyle w:val="Coverfooter"/>
                                    <w:rPr>
                                      <w:color w:val="FFFFFF"/>
                                    </w:rPr>
                                  </w:pPr>
                                  <w:r w:rsidRPr="005A1F44">
                                    <w:rPr>
                                      <w:color w:val="FFFFFF"/>
                                    </w:rPr>
                                    <w:fldChar w:fldCharType="begin"/>
                                  </w:r>
                                  <w:r w:rsidRPr="005A1F44">
                                    <w:rPr>
                                      <w:color w:val="FFFFFF"/>
                                    </w:rPr>
                                    <w:instrText xml:space="preserve"> DOCPROPERTY  FooterClientAddress \* MERGEFORMAT </w:instrText>
                                  </w:r>
                                  <w:r w:rsidRPr="005A1F44">
                                    <w:rPr>
                                      <w:color w:val="FFFFFF"/>
                                    </w:rPr>
                                    <w:fldChar w:fldCharType="end"/>
                                  </w:r>
                                </w:p>
                              </w:tc>
                              <w:tc>
                                <w:tcPr>
                                  <w:tcW w:w="2894" w:type="dxa"/>
                                  <w:vAlign w:val="bottom"/>
                                </w:tcPr>
                                <w:p w14:paraId="3A12A179" w14:textId="77777777" w:rsidR="00465696" w:rsidRPr="005A1F44" w:rsidRDefault="00465696" w:rsidP="00BA5047">
                                  <w:pPr>
                                    <w:pStyle w:val="Coverfooter"/>
                                    <w:jc w:val="center"/>
                                    <w:rPr>
                                      <w:b/>
                                      <w:caps/>
                                      <w:color w:val="FFFFFF"/>
                                      <w:sz w:val="18"/>
                                      <w:szCs w:val="18"/>
                                    </w:rPr>
                                  </w:pPr>
                                  <w:r w:rsidRPr="005A1F44">
                                    <w:rPr>
                                      <w:b/>
                                      <w:caps/>
                                      <w:color w:val="FFFFFF"/>
                                      <w:sz w:val="18"/>
                                      <w:szCs w:val="18"/>
                                    </w:rPr>
                                    <w:fldChar w:fldCharType="begin"/>
                                  </w:r>
                                  <w:r w:rsidRPr="005A1F44">
                                    <w:rPr>
                                      <w:b/>
                                      <w:caps/>
                                      <w:color w:val="FFFFFF"/>
                                      <w:sz w:val="18"/>
                                      <w:szCs w:val="18"/>
                                    </w:rPr>
                                    <w:instrText xml:space="preserve"> DOCPROPERTY  ProtectiveMarking \* MERGEFORMAT </w:instrText>
                                  </w:r>
                                  <w:r w:rsidRPr="005A1F44">
                                    <w:rPr>
                                      <w:b/>
                                      <w:caps/>
                                      <w:color w:val="FFFFFF"/>
                                      <w:sz w:val="18"/>
                                      <w:szCs w:val="18"/>
                                    </w:rPr>
                                    <w:fldChar w:fldCharType="end"/>
                                  </w:r>
                                </w:p>
                                <w:p w14:paraId="77C97BCA" w14:textId="77777777" w:rsidR="00465696" w:rsidRPr="005A1F44" w:rsidRDefault="00465696" w:rsidP="00BA5047">
                                  <w:pPr>
                                    <w:pStyle w:val="Coverfooter"/>
                                    <w:jc w:val="center"/>
                                    <w:rPr>
                                      <w:color w:val="FFFFFF"/>
                                    </w:rPr>
                                  </w:pPr>
                                  <w:r w:rsidRPr="005A1F44">
                                    <w:rPr>
                                      <w:color w:val="FFFFFF"/>
                                    </w:rPr>
                                    <w:fldChar w:fldCharType="begin"/>
                                  </w:r>
                                  <w:r w:rsidRPr="005A1F44">
                                    <w:rPr>
                                      <w:color w:val="FFFFFF"/>
                                    </w:rPr>
                                    <w:instrText xml:space="preserve"> DOCPROPERTY  Copies \* MERGEFORMAT </w:instrText>
                                  </w:r>
                                  <w:r w:rsidRPr="005A1F44">
                                    <w:rPr>
                                      <w:color w:val="FFFFFF"/>
                                    </w:rPr>
                                    <w:fldChar w:fldCharType="end"/>
                                  </w:r>
                                </w:p>
                              </w:tc>
                              <w:tc>
                                <w:tcPr>
                                  <w:tcW w:w="3545" w:type="dxa"/>
                                  <w:vAlign w:val="bottom"/>
                                </w:tcPr>
                                <w:p w14:paraId="079EF69D" w14:textId="77777777" w:rsidR="00465696" w:rsidRPr="005A1F44" w:rsidRDefault="00465696" w:rsidP="008A19FD">
                                  <w:pPr>
                                    <w:pStyle w:val="Coverfooter"/>
                                    <w:rPr>
                                      <w:color w:val="FFFFFF"/>
                                    </w:rPr>
                                  </w:pPr>
                                </w:p>
                                <w:p w14:paraId="78678CD2" w14:textId="77777777" w:rsidR="00465696" w:rsidRPr="005A1F44" w:rsidRDefault="00465696" w:rsidP="008A19FD">
                                  <w:pPr>
                                    <w:pStyle w:val="Coverfooter"/>
                                    <w:rPr>
                                      <w:color w:val="FFFFFF"/>
                                    </w:rPr>
                                  </w:pPr>
                                </w:p>
                                <w:p w14:paraId="37923F70" w14:textId="77777777" w:rsidR="00465696" w:rsidRPr="005A1F44" w:rsidRDefault="00465696" w:rsidP="008A19FD">
                                  <w:pPr>
                                    <w:pStyle w:val="Coverfooter"/>
                                    <w:rPr>
                                      <w:color w:val="FFFFFF"/>
                                    </w:rPr>
                                  </w:pPr>
                                </w:p>
                              </w:tc>
                            </w:tr>
                            <w:bookmarkEnd w:id="1"/>
                            <w:bookmarkEnd w:id="2"/>
                          </w:tbl>
                          <w:p w14:paraId="74D76E44" w14:textId="77777777" w:rsidR="00465696" w:rsidRDefault="00465696"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verFooterBox" o:spid="_x0000_s1027" type="#_x0000_t202" style="position:absolute;margin-left:0;margin-top:0;width:451.3pt;height:106.65pt;z-index:251654656;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627"/>
                        <w:gridCol w:w="2884"/>
                        <w:gridCol w:w="3533"/>
                      </w:tblGrid>
                      <w:tr w:rsidR="00465696" w:rsidRPr="005A1F44" w14:paraId="00987BF1" w14:textId="77777777" w:rsidTr="00606621">
                        <w:trPr>
                          <w:trHeight w:val="1554"/>
                        </w:trPr>
                        <w:tc>
                          <w:tcPr>
                            <w:tcW w:w="2635" w:type="dxa"/>
                            <w:vAlign w:val="bottom"/>
                          </w:tcPr>
                          <w:bookmarkStart w:id="3" w:name="Cover3" w:colFirst="0" w:colLast="2"/>
                          <w:bookmarkStart w:id="4" w:name="CoverTable2"/>
                          <w:p w14:paraId="7D803232" w14:textId="77777777" w:rsidR="00465696" w:rsidRPr="005A1F44" w:rsidRDefault="00465696" w:rsidP="008A19FD">
                            <w:pPr>
                              <w:pStyle w:val="Coverfooter"/>
                              <w:rPr>
                                <w:color w:val="FFFFFF"/>
                              </w:rPr>
                            </w:pPr>
                            <w:r w:rsidRPr="005A1F44">
                              <w:rPr>
                                <w:color w:val="FFFFFF"/>
                              </w:rPr>
                              <w:fldChar w:fldCharType="begin"/>
                            </w:r>
                            <w:r w:rsidRPr="005A1F44">
                              <w:rPr>
                                <w:color w:val="FFFFFF"/>
                              </w:rPr>
                              <w:instrText xml:space="preserve"> DOCPROPERTY  FooterClientAddress \* MERGEFORMAT </w:instrText>
                            </w:r>
                            <w:r w:rsidRPr="005A1F44">
                              <w:rPr>
                                <w:color w:val="FFFFFF"/>
                              </w:rPr>
                              <w:fldChar w:fldCharType="end"/>
                            </w:r>
                          </w:p>
                        </w:tc>
                        <w:tc>
                          <w:tcPr>
                            <w:tcW w:w="2894" w:type="dxa"/>
                            <w:vAlign w:val="bottom"/>
                          </w:tcPr>
                          <w:p w14:paraId="3A12A179" w14:textId="77777777" w:rsidR="00465696" w:rsidRPr="005A1F44" w:rsidRDefault="00465696" w:rsidP="00BA5047">
                            <w:pPr>
                              <w:pStyle w:val="Coverfooter"/>
                              <w:jc w:val="center"/>
                              <w:rPr>
                                <w:b/>
                                <w:caps/>
                                <w:color w:val="FFFFFF"/>
                                <w:sz w:val="18"/>
                                <w:szCs w:val="18"/>
                              </w:rPr>
                            </w:pPr>
                            <w:r w:rsidRPr="005A1F44">
                              <w:rPr>
                                <w:b/>
                                <w:caps/>
                                <w:color w:val="FFFFFF"/>
                                <w:sz w:val="18"/>
                                <w:szCs w:val="18"/>
                              </w:rPr>
                              <w:fldChar w:fldCharType="begin"/>
                            </w:r>
                            <w:r w:rsidRPr="005A1F44">
                              <w:rPr>
                                <w:b/>
                                <w:caps/>
                                <w:color w:val="FFFFFF"/>
                                <w:sz w:val="18"/>
                                <w:szCs w:val="18"/>
                              </w:rPr>
                              <w:instrText xml:space="preserve"> DOCPROPERTY  ProtectiveMarking \* MERGEFORMAT </w:instrText>
                            </w:r>
                            <w:r w:rsidRPr="005A1F44">
                              <w:rPr>
                                <w:b/>
                                <w:caps/>
                                <w:color w:val="FFFFFF"/>
                                <w:sz w:val="18"/>
                                <w:szCs w:val="18"/>
                              </w:rPr>
                              <w:fldChar w:fldCharType="end"/>
                            </w:r>
                          </w:p>
                          <w:p w14:paraId="77C97BCA" w14:textId="77777777" w:rsidR="00465696" w:rsidRPr="005A1F44" w:rsidRDefault="00465696" w:rsidP="00BA5047">
                            <w:pPr>
                              <w:pStyle w:val="Coverfooter"/>
                              <w:jc w:val="center"/>
                              <w:rPr>
                                <w:color w:val="FFFFFF"/>
                              </w:rPr>
                            </w:pPr>
                            <w:r w:rsidRPr="005A1F44">
                              <w:rPr>
                                <w:color w:val="FFFFFF"/>
                              </w:rPr>
                              <w:fldChar w:fldCharType="begin"/>
                            </w:r>
                            <w:r w:rsidRPr="005A1F44">
                              <w:rPr>
                                <w:color w:val="FFFFFF"/>
                              </w:rPr>
                              <w:instrText xml:space="preserve"> DOCPROPERTY  Copies \* MERGEFORMAT </w:instrText>
                            </w:r>
                            <w:r w:rsidRPr="005A1F44">
                              <w:rPr>
                                <w:color w:val="FFFFFF"/>
                              </w:rPr>
                              <w:fldChar w:fldCharType="end"/>
                            </w:r>
                          </w:p>
                        </w:tc>
                        <w:tc>
                          <w:tcPr>
                            <w:tcW w:w="3545" w:type="dxa"/>
                            <w:vAlign w:val="bottom"/>
                          </w:tcPr>
                          <w:p w14:paraId="079EF69D" w14:textId="77777777" w:rsidR="00465696" w:rsidRPr="005A1F44" w:rsidRDefault="00465696" w:rsidP="008A19FD">
                            <w:pPr>
                              <w:pStyle w:val="Coverfooter"/>
                              <w:rPr>
                                <w:color w:val="FFFFFF"/>
                              </w:rPr>
                            </w:pPr>
                          </w:p>
                          <w:p w14:paraId="78678CD2" w14:textId="77777777" w:rsidR="00465696" w:rsidRPr="005A1F44" w:rsidRDefault="00465696" w:rsidP="008A19FD">
                            <w:pPr>
                              <w:pStyle w:val="Coverfooter"/>
                              <w:rPr>
                                <w:color w:val="FFFFFF"/>
                              </w:rPr>
                            </w:pPr>
                          </w:p>
                          <w:p w14:paraId="37923F70" w14:textId="77777777" w:rsidR="00465696" w:rsidRPr="005A1F44" w:rsidRDefault="00465696" w:rsidP="008A19FD">
                            <w:pPr>
                              <w:pStyle w:val="Coverfooter"/>
                              <w:rPr>
                                <w:color w:val="FFFFFF"/>
                              </w:rPr>
                            </w:pPr>
                          </w:p>
                        </w:tc>
                      </w:tr>
                      <w:bookmarkEnd w:id="3"/>
                      <w:bookmarkEnd w:id="4"/>
                    </w:tbl>
                    <w:p w14:paraId="74D76E44" w14:textId="77777777" w:rsidR="00465696" w:rsidRDefault="00465696" w:rsidP="00DA79BC"/>
                  </w:txbxContent>
                </v:textbox>
                <w10:wrap anchory="page"/>
              </v:shape>
            </w:pict>
          </mc:Fallback>
        </mc:AlternateContent>
      </w:r>
      <w:r w:rsidR="000652F7">
        <w:rPr>
          <w:noProof/>
          <w:lang w:eastAsia="en-GB"/>
        </w:rPr>
        <mc:AlternateContent>
          <mc:Choice Requires="wps">
            <w:drawing>
              <wp:anchor distT="0" distB="0" distL="114300" distR="114300" simplePos="0" relativeHeight="251655680" behindDoc="0" locked="0" layoutInCell="0" allowOverlap="1" wp14:anchorId="109F1CA6" wp14:editId="14E37DAF">
                <wp:simplePos x="0" y="0"/>
                <wp:positionH relativeFrom="margin">
                  <wp:posOffset>0</wp:posOffset>
                </wp:positionH>
                <wp:positionV relativeFrom="page">
                  <wp:posOffset>4009390</wp:posOffset>
                </wp:positionV>
                <wp:extent cx="5731510" cy="3081659"/>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95"/>
                            </w:tblGrid>
                            <w:tr w:rsidR="00465696" w:rsidRPr="005A1F44" w14:paraId="6498C0A9" w14:textId="77777777" w:rsidTr="00E7679A">
                              <w:trPr>
                                <w:trHeight w:val="3547"/>
                              </w:trPr>
                              <w:tc>
                                <w:tcPr>
                                  <w:tcW w:w="8132" w:type="dxa"/>
                                </w:tcPr>
                                <w:p w14:paraId="47CD9E8C" w14:textId="74ECF757" w:rsidR="00465696" w:rsidRDefault="00465696" w:rsidP="00E7679A">
                                  <w:pPr>
                                    <w:pStyle w:val="Title"/>
                                    <w:rPr>
                                      <w:color w:val="FFFFFF"/>
                                    </w:rPr>
                                  </w:pPr>
                                  <w:bookmarkStart w:id="5" w:name="Cover1" w:colFirst="0" w:colLast="1"/>
                                  <w:bookmarkStart w:id="6" w:name="CoverTable1"/>
                                  <w:r>
                                    <w:rPr>
                                      <w:color w:val="FFFFFF"/>
                                    </w:rPr>
                                    <w:t>Copdock and Washbrook</w:t>
                                  </w:r>
                                </w:p>
                                <w:p w14:paraId="3D9640E6" w14:textId="0DFD7FD0" w:rsidR="00465696" w:rsidRPr="005A1F44" w:rsidRDefault="00465696" w:rsidP="00E7679A">
                                  <w:pPr>
                                    <w:pStyle w:val="Title"/>
                                    <w:rPr>
                                      <w:color w:val="FFFFFF"/>
                                    </w:rPr>
                                  </w:pPr>
                                  <w:r>
                                    <w:rPr>
                                      <w:color w:val="FFFFFF"/>
                                    </w:rPr>
                                    <w:t>Housing Needs Assessment (HNA)</w:t>
                                  </w:r>
                                </w:p>
                                <w:p w14:paraId="48447FA3" w14:textId="77777777" w:rsidR="00465696" w:rsidRPr="005A1F44" w:rsidRDefault="00465696" w:rsidP="00F83749">
                                  <w:pPr>
                                    <w:pStyle w:val="Subtitleheading"/>
                                    <w:rPr>
                                      <w:color w:val="FFFFFF"/>
                                    </w:rPr>
                                  </w:pPr>
                                  <w:r w:rsidRPr="005A1F44">
                                    <w:rPr>
                                      <w:color w:val="FFFFFF"/>
                                    </w:rPr>
                                    <w:fldChar w:fldCharType="begin"/>
                                  </w:r>
                                  <w:r w:rsidRPr="005A1F44">
                                    <w:rPr>
                                      <w:color w:val="FFFFFF"/>
                                    </w:rPr>
                                    <w:instrText xml:space="preserve"> DOCPROPERTY  SubTitle \* MERGEFORMAT </w:instrText>
                                  </w:r>
                                  <w:r w:rsidRPr="005A1F44">
                                    <w:rPr>
                                      <w:color w:val="FFFFFF"/>
                                    </w:rPr>
                                    <w:fldChar w:fldCharType="end"/>
                                  </w:r>
                                </w:p>
                                <w:p w14:paraId="06E16004" w14:textId="77777777" w:rsidR="00465696" w:rsidRPr="005A1F44" w:rsidRDefault="00465696" w:rsidP="00F83749">
                                  <w:pPr>
                                    <w:pStyle w:val="Subtitleheading"/>
                                    <w:rPr>
                                      <w:color w:val="FFFFFF"/>
                                    </w:rPr>
                                  </w:pPr>
                                  <w:r w:rsidRPr="005A1F44">
                                    <w:rPr>
                                      <w:color w:val="FFFFFF"/>
                                    </w:rPr>
                                    <w:fldChar w:fldCharType="begin"/>
                                  </w:r>
                                  <w:r w:rsidRPr="005A1F44">
                                    <w:rPr>
                                      <w:color w:val="FFFFFF"/>
                                    </w:rPr>
                                    <w:instrText xml:space="preserve"> DOCPROPERTY  SupplementaryTitle \* MERGEFORMAT </w:instrText>
                                  </w:r>
                                  <w:r w:rsidRPr="005A1F44">
                                    <w:rPr>
                                      <w:color w:val="FFFFFF"/>
                                    </w:rPr>
                                    <w:fldChar w:fldCharType="end"/>
                                  </w:r>
                                </w:p>
                                <w:p w14:paraId="0F2D3E17" w14:textId="77777777" w:rsidR="00465696" w:rsidRPr="005A1F44" w:rsidRDefault="00465696" w:rsidP="00E7679A">
                                  <w:pPr>
                                    <w:rPr>
                                      <w:color w:val="FFFFFF"/>
                                    </w:rPr>
                                  </w:pPr>
                                </w:p>
                                <w:p w14:paraId="55B3BA84" w14:textId="77777777" w:rsidR="00465696" w:rsidRPr="005A1F44" w:rsidRDefault="00465696" w:rsidP="00F83749">
                                  <w:pPr>
                                    <w:pStyle w:val="Subtitleheading"/>
                                    <w:rPr>
                                      <w:color w:val="FFFFFF"/>
                                    </w:rPr>
                                  </w:pPr>
                                  <w:r w:rsidRPr="005A1F44">
                                    <w:rPr>
                                      <w:color w:val="FFFFFF"/>
                                    </w:rPr>
                                    <w:fldChar w:fldCharType="begin"/>
                                  </w:r>
                                  <w:r w:rsidRPr="005A1F44">
                                    <w:rPr>
                                      <w:color w:val="FFFFFF"/>
                                    </w:rPr>
                                    <w:instrText xml:space="preserve"> DOCPROPERTY  ClientName \* MERGEFORMAT </w:instrText>
                                  </w:r>
                                  <w:r w:rsidRPr="005A1F44">
                                    <w:rPr>
                                      <w:color w:val="FFFFFF"/>
                                    </w:rPr>
                                    <w:fldChar w:fldCharType="end"/>
                                  </w:r>
                                </w:p>
                                <w:p w14:paraId="6B0742B3" w14:textId="77777777" w:rsidR="00465696" w:rsidRPr="005A1F44" w:rsidRDefault="00465696" w:rsidP="00347538">
                                  <w:pPr>
                                    <w:pStyle w:val="Subtitle"/>
                                    <w:rPr>
                                      <w:rFonts w:asciiTheme="minorHAnsi" w:hAnsiTheme="minorHAnsi" w:cstheme="minorHAnsi"/>
                                      <w:color w:val="FFFFFF"/>
                                    </w:rPr>
                                  </w:pPr>
                                  <w:r w:rsidRPr="005A1F44">
                                    <w:rPr>
                                      <w:rFonts w:asciiTheme="minorHAnsi" w:hAnsiTheme="minorHAnsi" w:cstheme="minorHAnsi"/>
                                      <w:color w:val="FFFFFF"/>
                                    </w:rPr>
                                    <w:fldChar w:fldCharType="begin"/>
                                  </w:r>
                                  <w:r w:rsidRPr="005A1F44">
                                    <w:rPr>
                                      <w:rFonts w:asciiTheme="minorHAnsi" w:hAnsiTheme="minorHAnsi" w:cstheme="minorHAnsi"/>
                                      <w:color w:val="FFFFFF"/>
                                    </w:rPr>
                                    <w:instrText xml:space="preserve"> DOCPROPERTY  TenderStage \* MERGEFORMAT </w:instrText>
                                  </w:r>
                                  <w:r w:rsidRPr="005A1F44">
                                    <w:rPr>
                                      <w:rFonts w:asciiTheme="minorHAnsi" w:hAnsiTheme="minorHAnsi" w:cstheme="minorHAnsi"/>
                                      <w:color w:val="FFFFFF"/>
                                    </w:rPr>
                                    <w:fldChar w:fldCharType="end"/>
                                  </w:r>
                                </w:p>
                                <w:p w14:paraId="1096CAAF" w14:textId="77777777" w:rsidR="00465696" w:rsidRPr="005A1F44" w:rsidRDefault="00465696" w:rsidP="00BA5047">
                                  <w:pPr>
                                    <w:rPr>
                                      <w:color w:val="FFFFFF"/>
                                    </w:rPr>
                                  </w:pPr>
                                </w:p>
                                <w:p w14:paraId="03EA6695" w14:textId="77777777" w:rsidR="00465696" w:rsidRPr="005A1F44" w:rsidRDefault="00465696" w:rsidP="00BA5047">
                                  <w:pPr>
                                    <w:pStyle w:val="Coverfooter"/>
                                    <w:rPr>
                                      <w:color w:val="FFFFFF"/>
                                    </w:rPr>
                                  </w:pPr>
                                  <w:r w:rsidRPr="005A1F44">
                                    <w:rPr>
                                      <w:color w:val="FFFFFF"/>
                                    </w:rPr>
                                    <w:fldChar w:fldCharType="begin"/>
                                  </w:r>
                                  <w:r w:rsidRPr="005A1F44">
                                    <w:rPr>
                                      <w:color w:val="FFFFFF"/>
                                    </w:rPr>
                                    <w:instrText xml:space="preserve"> DOCPROPERTY  ProjectRef \* MERGEFORMAT </w:instrText>
                                  </w:r>
                                  <w:r w:rsidRPr="005A1F44">
                                    <w:rPr>
                                      <w:color w:val="FFFFFF"/>
                                    </w:rPr>
                                    <w:fldChar w:fldCharType="separate"/>
                                  </w:r>
                                  <w:r>
                                    <w:rPr>
                                      <w:color w:val="FFFFFF"/>
                                    </w:rPr>
                                    <w:t xml:space="preserve"> </w:t>
                                  </w:r>
                                  <w:r w:rsidRPr="005A1F44">
                                    <w:rPr>
                                      <w:color w:val="FFFFFF"/>
                                    </w:rPr>
                                    <w:fldChar w:fldCharType="end"/>
                                  </w:r>
                                </w:p>
                                <w:p w14:paraId="526E0EC9" w14:textId="77777777" w:rsidR="00465696" w:rsidRPr="005A1F44" w:rsidRDefault="00465696" w:rsidP="00BA5047">
                                  <w:pPr>
                                    <w:pStyle w:val="Coverfooter"/>
                                    <w:rPr>
                                      <w:color w:val="FFFFFF"/>
                                    </w:rPr>
                                  </w:pPr>
                                  <w:r w:rsidRPr="005A1F44">
                                    <w:rPr>
                                      <w:color w:val="FFFFFF"/>
                                    </w:rPr>
                                    <w:fldChar w:fldCharType="begin"/>
                                  </w:r>
                                  <w:r w:rsidRPr="005A1F44">
                                    <w:rPr>
                                      <w:color w:val="FFFFFF"/>
                                    </w:rPr>
                                    <w:instrText xml:space="preserve"> DOCPROPERTY  ProjectNumber \* MERGEFORMAT </w:instrText>
                                  </w:r>
                                  <w:r w:rsidRPr="005A1F44">
                                    <w:rPr>
                                      <w:color w:val="FFFFFF"/>
                                    </w:rPr>
                                    <w:fldChar w:fldCharType="separate"/>
                                  </w:r>
                                  <w:r>
                                    <w:rPr>
                                      <w:color w:val="FFFFFF"/>
                                    </w:rPr>
                                    <w:t xml:space="preserve"> </w:t>
                                  </w:r>
                                  <w:r w:rsidRPr="005A1F44">
                                    <w:rPr>
                                      <w:color w:val="FFFFFF"/>
                                    </w:rPr>
                                    <w:fldChar w:fldCharType="end"/>
                                  </w:r>
                                </w:p>
                                <w:p w14:paraId="633A18BF" w14:textId="77777777" w:rsidR="00465696" w:rsidRPr="005A1F44" w:rsidRDefault="00465696" w:rsidP="00BA5047">
                                  <w:pPr>
                                    <w:pStyle w:val="Coverfooter"/>
                                    <w:rPr>
                                      <w:color w:val="FFFFFF"/>
                                    </w:rPr>
                                  </w:pPr>
                                  <w:r w:rsidRPr="005A1F44">
                                    <w:rPr>
                                      <w:color w:val="FFFFFF"/>
                                    </w:rPr>
                                    <w:fldChar w:fldCharType="begin"/>
                                  </w:r>
                                  <w:r w:rsidRPr="005A1F44">
                                    <w:rPr>
                                      <w:color w:val="FFFFFF"/>
                                    </w:rPr>
                                    <w:instrText xml:space="preserve"> DOCPROPERTY  DocumentReference \* MERGEFORMAT </w:instrText>
                                  </w:r>
                                  <w:r w:rsidRPr="005A1F44">
                                    <w:rPr>
                                      <w:color w:val="FFFFFF"/>
                                    </w:rPr>
                                    <w:fldChar w:fldCharType="end"/>
                                  </w:r>
                                </w:p>
                                <w:p w14:paraId="46D44E86" w14:textId="77777777" w:rsidR="00465696" w:rsidRPr="005A1F44" w:rsidRDefault="00465696" w:rsidP="00BA5047">
                                  <w:pPr>
                                    <w:pStyle w:val="Coverfooter"/>
                                    <w:rPr>
                                      <w:color w:val="FFFFFF"/>
                                    </w:rPr>
                                  </w:pPr>
                                </w:p>
                                <w:p w14:paraId="59D53D2D" w14:textId="3C390A84" w:rsidR="00465696" w:rsidRPr="005A1F44" w:rsidRDefault="00465696" w:rsidP="009A185E">
                                  <w:pPr>
                                    <w:pStyle w:val="Coverfooter"/>
                                    <w:rPr>
                                      <w:color w:val="FFFFFF"/>
                                    </w:rPr>
                                  </w:pPr>
                                  <w:r>
                                    <w:rPr>
                                      <w:color w:val="FFFFFF"/>
                                    </w:rPr>
                                    <w:t>May 2019</w:t>
                                  </w:r>
                                </w:p>
                              </w:tc>
                            </w:tr>
                            <w:bookmarkEnd w:id="5"/>
                            <w:bookmarkEnd w:id="6"/>
                          </w:tbl>
                          <w:p w14:paraId="53240104" w14:textId="77777777" w:rsidR="00465696" w:rsidRDefault="00465696" w:rsidP="00213392"/>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id="CoverTitleBox" o:spid="_x0000_s1028" type="#_x0000_t202" style="position:absolute;margin-left:0;margin-top:315.7pt;width:451.3pt;height:242.65pt;z-index:251655680;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" o:allowincell="f" filled="f" stroked="f">
                <v:textbox inset="0,0,0,1mm">
                  <w:txbxContent>
                    <w:tbl>
                      <w:tblPr>
                        <w:tblStyle w:val="Plaingrid"/>
                        <w:tblW w:w="3500" w:type="pct"/>
                        <w:tblLook w:val="04A0" w:firstRow="1" w:lastRow="0" w:firstColumn="1" w:lastColumn="0" w:noHBand="0" w:noVBand="1"/>
                      </w:tblPr>
                      <w:tblGrid>
                        <w:gridCol w:w="6395"/>
                      </w:tblGrid>
                      <w:tr w:rsidR="00465696" w:rsidRPr="005A1F44" w14:paraId="6498C0A9" w14:textId="77777777" w:rsidTr="00E7679A">
                        <w:trPr>
                          <w:trHeight w:val="3547"/>
                        </w:trPr>
                        <w:tc>
                          <w:tcPr>
                            <w:tcW w:w="8132" w:type="dxa"/>
                          </w:tcPr>
                          <w:p w14:paraId="47CD9E8C" w14:textId="74ECF757" w:rsidR="00465696" w:rsidRDefault="00465696" w:rsidP="00E7679A">
                            <w:pPr>
                              <w:pStyle w:val="Title"/>
                              <w:rPr>
                                <w:color w:val="FFFFFF"/>
                              </w:rPr>
                            </w:pPr>
                            <w:bookmarkStart w:id="7" w:name="Cover1" w:colFirst="0" w:colLast="1"/>
                            <w:bookmarkStart w:id="8" w:name="CoverTable1"/>
                            <w:r>
                              <w:rPr>
                                <w:color w:val="FFFFFF"/>
                              </w:rPr>
                              <w:t>Copdock and Washbrook</w:t>
                            </w:r>
                          </w:p>
                          <w:p w14:paraId="3D9640E6" w14:textId="0DFD7FD0" w:rsidR="00465696" w:rsidRPr="005A1F44" w:rsidRDefault="00465696" w:rsidP="00E7679A">
                            <w:pPr>
                              <w:pStyle w:val="Title"/>
                              <w:rPr>
                                <w:color w:val="FFFFFF"/>
                              </w:rPr>
                            </w:pPr>
                            <w:r>
                              <w:rPr>
                                <w:color w:val="FFFFFF"/>
                              </w:rPr>
                              <w:t>Housing Needs Assessment (HNA)</w:t>
                            </w:r>
                          </w:p>
                          <w:p w14:paraId="48447FA3" w14:textId="77777777" w:rsidR="00465696" w:rsidRPr="005A1F44" w:rsidRDefault="00465696" w:rsidP="00F83749">
                            <w:pPr>
                              <w:pStyle w:val="Subtitleheading"/>
                              <w:rPr>
                                <w:color w:val="FFFFFF"/>
                              </w:rPr>
                            </w:pPr>
                            <w:r w:rsidRPr="005A1F44">
                              <w:rPr>
                                <w:color w:val="FFFFFF"/>
                              </w:rPr>
                              <w:fldChar w:fldCharType="begin"/>
                            </w:r>
                            <w:r w:rsidRPr="005A1F44">
                              <w:rPr>
                                <w:color w:val="FFFFFF"/>
                              </w:rPr>
                              <w:instrText xml:space="preserve"> DOCPROPERTY  SubTitle \* MERGEFORMAT </w:instrText>
                            </w:r>
                            <w:r w:rsidRPr="005A1F44">
                              <w:rPr>
                                <w:color w:val="FFFFFF"/>
                              </w:rPr>
                              <w:fldChar w:fldCharType="end"/>
                            </w:r>
                          </w:p>
                          <w:p w14:paraId="06E16004" w14:textId="77777777" w:rsidR="00465696" w:rsidRPr="005A1F44" w:rsidRDefault="00465696" w:rsidP="00F83749">
                            <w:pPr>
                              <w:pStyle w:val="Subtitleheading"/>
                              <w:rPr>
                                <w:color w:val="FFFFFF"/>
                              </w:rPr>
                            </w:pPr>
                            <w:r w:rsidRPr="005A1F44">
                              <w:rPr>
                                <w:color w:val="FFFFFF"/>
                              </w:rPr>
                              <w:fldChar w:fldCharType="begin"/>
                            </w:r>
                            <w:r w:rsidRPr="005A1F44">
                              <w:rPr>
                                <w:color w:val="FFFFFF"/>
                              </w:rPr>
                              <w:instrText xml:space="preserve"> DOCPROPERTY  SupplementaryTitle \* MERGEFORMAT </w:instrText>
                            </w:r>
                            <w:r w:rsidRPr="005A1F44">
                              <w:rPr>
                                <w:color w:val="FFFFFF"/>
                              </w:rPr>
                              <w:fldChar w:fldCharType="end"/>
                            </w:r>
                          </w:p>
                          <w:p w14:paraId="0F2D3E17" w14:textId="77777777" w:rsidR="00465696" w:rsidRPr="005A1F44" w:rsidRDefault="00465696" w:rsidP="00E7679A">
                            <w:pPr>
                              <w:rPr>
                                <w:color w:val="FFFFFF"/>
                              </w:rPr>
                            </w:pPr>
                          </w:p>
                          <w:p w14:paraId="55B3BA84" w14:textId="77777777" w:rsidR="00465696" w:rsidRPr="005A1F44" w:rsidRDefault="00465696" w:rsidP="00F83749">
                            <w:pPr>
                              <w:pStyle w:val="Subtitleheading"/>
                              <w:rPr>
                                <w:color w:val="FFFFFF"/>
                              </w:rPr>
                            </w:pPr>
                            <w:r w:rsidRPr="005A1F44">
                              <w:rPr>
                                <w:color w:val="FFFFFF"/>
                              </w:rPr>
                              <w:fldChar w:fldCharType="begin"/>
                            </w:r>
                            <w:r w:rsidRPr="005A1F44">
                              <w:rPr>
                                <w:color w:val="FFFFFF"/>
                              </w:rPr>
                              <w:instrText xml:space="preserve"> DOCPROPERTY  ClientName \* MERGEFORMAT </w:instrText>
                            </w:r>
                            <w:r w:rsidRPr="005A1F44">
                              <w:rPr>
                                <w:color w:val="FFFFFF"/>
                              </w:rPr>
                              <w:fldChar w:fldCharType="end"/>
                            </w:r>
                          </w:p>
                          <w:p w14:paraId="6B0742B3" w14:textId="77777777" w:rsidR="00465696" w:rsidRPr="005A1F44" w:rsidRDefault="00465696" w:rsidP="00347538">
                            <w:pPr>
                              <w:pStyle w:val="Subtitle"/>
                              <w:rPr>
                                <w:rFonts w:asciiTheme="minorHAnsi" w:hAnsiTheme="minorHAnsi" w:cstheme="minorHAnsi"/>
                                <w:color w:val="FFFFFF"/>
                              </w:rPr>
                            </w:pPr>
                            <w:r w:rsidRPr="005A1F44">
                              <w:rPr>
                                <w:rFonts w:asciiTheme="minorHAnsi" w:hAnsiTheme="minorHAnsi" w:cstheme="minorHAnsi"/>
                                <w:color w:val="FFFFFF"/>
                              </w:rPr>
                              <w:fldChar w:fldCharType="begin"/>
                            </w:r>
                            <w:r w:rsidRPr="005A1F44">
                              <w:rPr>
                                <w:rFonts w:asciiTheme="minorHAnsi" w:hAnsiTheme="minorHAnsi" w:cstheme="minorHAnsi"/>
                                <w:color w:val="FFFFFF"/>
                              </w:rPr>
                              <w:instrText xml:space="preserve"> DOCPROPERTY  TenderStage \* MERGEFORMAT </w:instrText>
                            </w:r>
                            <w:r w:rsidRPr="005A1F44">
                              <w:rPr>
                                <w:rFonts w:asciiTheme="minorHAnsi" w:hAnsiTheme="minorHAnsi" w:cstheme="minorHAnsi"/>
                                <w:color w:val="FFFFFF"/>
                              </w:rPr>
                              <w:fldChar w:fldCharType="end"/>
                            </w:r>
                          </w:p>
                          <w:p w14:paraId="1096CAAF" w14:textId="77777777" w:rsidR="00465696" w:rsidRPr="005A1F44" w:rsidRDefault="00465696" w:rsidP="00BA5047">
                            <w:pPr>
                              <w:rPr>
                                <w:color w:val="FFFFFF"/>
                              </w:rPr>
                            </w:pPr>
                          </w:p>
                          <w:p w14:paraId="03EA6695" w14:textId="77777777" w:rsidR="00465696" w:rsidRPr="005A1F44" w:rsidRDefault="00465696" w:rsidP="00BA5047">
                            <w:pPr>
                              <w:pStyle w:val="Coverfooter"/>
                              <w:rPr>
                                <w:color w:val="FFFFFF"/>
                              </w:rPr>
                            </w:pPr>
                            <w:r w:rsidRPr="005A1F44">
                              <w:rPr>
                                <w:color w:val="FFFFFF"/>
                              </w:rPr>
                              <w:fldChar w:fldCharType="begin"/>
                            </w:r>
                            <w:r w:rsidRPr="005A1F44">
                              <w:rPr>
                                <w:color w:val="FFFFFF"/>
                              </w:rPr>
                              <w:instrText xml:space="preserve"> DOCPROPERTY  ProjectRef \* MERGEFORMAT </w:instrText>
                            </w:r>
                            <w:r w:rsidRPr="005A1F44">
                              <w:rPr>
                                <w:color w:val="FFFFFF"/>
                              </w:rPr>
                              <w:fldChar w:fldCharType="separate"/>
                            </w:r>
                            <w:r>
                              <w:rPr>
                                <w:color w:val="FFFFFF"/>
                              </w:rPr>
                              <w:t xml:space="preserve"> </w:t>
                            </w:r>
                            <w:r w:rsidRPr="005A1F44">
                              <w:rPr>
                                <w:color w:val="FFFFFF"/>
                              </w:rPr>
                              <w:fldChar w:fldCharType="end"/>
                            </w:r>
                          </w:p>
                          <w:p w14:paraId="526E0EC9" w14:textId="77777777" w:rsidR="00465696" w:rsidRPr="005A1F44" w:rsidRDefault="00465696" w:rsidP="00BA5047">
                            <w:pPr>
                              <w:pStyle w:val="Coverfooter"/>
                              <w:rPr>
                                <w:color w:val="FFFFFF"/>
                              </w:rPr>
                            </w:pPr>
                            <w:r w:rsidRPr="005A1F44">
                              <w:rPr>
                                <w:color w:val="FFFFFF"/>
                              </w:rPr>
                              <w:fldChar w:fldCharType="begin"/>
                            </w:r>
                            <w:r w:rsidRPr="005A1F44">
                              <w:rPr>
                                <w:color w:val="FFFFFF"/>
                              </w:rPr>
                              <w:instrText xml:space="preserve"> DOCPROPERTY  ProjectNumber \* MERGEFORMAT </w:instrText>
                            </w:r>
                            <w:r w:rsidRPr="005A1F44">
                              <w:rPr>
                                <w:color w:val="FFFFFF"/>
                              </w:rPr>
                              <w:fldChar w:fldCharType="separate"/>
                            </w:r>
                            <w:r>
                              <w:rPr>
                                <w:color w:val="FFFFFF"/>
                              </w:rPr>
                              <w:t xml:space="preserve"> </w:t>
                            </w:r>
                            <w:r w:rsidRPr="005A1F44">
                              <w:rPr>
                                <w:color w:val="FFFFFF"/>
                              </w:rPr>
                              <w:fldChar w:fldCharType="end"/>
                            </w:r>
                          </w:p>
                          <w:p w14:paraId="633A18BF" w14:textId="77777777" w:rsidR="00465696" w:rsidRPr="005A1F44" w:rsidRDefault="00465696" w:rsidP="00BA5047">
                            <w:pPr>
                              <w:pStyle w:val="Coverfooter"/>
                              <w:rPr>
                                <w:color w:val="FFFFFF"/>
                              </w:rPr>
                            </w:pPr>
                            <w:r w:rsidRPr="005A1F44">
                              <w:rPr>
                                <w:color w:val="FFFFFF"/>
                              </w:rPr>
                              <w:fldChar w:fldCharType="begin"/>
                            </w:r>
                            <w:r w:rsidRPr="005A1F44">
                              <w:rPr>
                                <w:color w:val="FFFFFF"/>
                              </w:rPr>
                              <w:instrText xml:space="preserve"> DOCPROPERTY  DocumentReference \* MERGEFORMAT </w:instrText>
                            </w:r>
                            <w:r w:rsidRPr="005A1F44">
                              <w:rPr>
                                <w:color w:val="FFFFFF"/>
                              </w:rPr>
                              <w:fldChar w:fldCharType="end"/>
                            </w:r>
                          </w:p>
                          <w:p w14:paraId="46D44E86" w14:textId="77777777" w:rsidR="00465696" w:rsidRPr="005A1F44" w:rsidRDefault="00465696" w:rsidP="00BA5047">
                            <w:pPr>
                              <w:pStyle w:val="Coverfooter"/>
                              <w:rPr>
                                <w:color w:val="FFFFFF"/>
                              </w:rPr>
                            </w:pPr>
                          </w:p>
                          <w:p w14:paraId="59D53D2D" w14:textId="3C390A84" w:rsidR="00465696" w:rsidRPr="005A1F44" w:rsidRDefault="00465696" w:rsidP="009A185E">
                            <w:pPr>
                              <w:pStyle w:val="Coverfooter"/>
                              <w:rPr>
                                <w:color w:val="FFFFFF"/>
                              </w:rPr>
                            </w:pPr>
                            <w:r>
                              <w:rPr>
                                <w:color w:val="FFFFFF"/>
                              </w:rPr>
                              <w:t>May 2019</w:t>
                            </w:r>
                          </w:p>
                        </w:tc>
                      </w:tr>
                      <w:bookmarkEnd w:id="7"/>
                      <w:bookmarkEnd w:id="8"/>
                    </w:tbl>
                    <w:p w14:paraId="53240104" w14:textId="77777777" w:rsidR="00465696" w:rsidRDefault="00465696" w:rsidP="00213392"/>
                  </w:txbxContent>
                </v:textbox>
                <w10:wrap anchorx="margin" anchory="page"/>
              </v:shape>
            </w:pict>
          </mc:Fallback>
        </mc:AlternateContent>
      </w:r>
    </w:p>
    <w:p w14:paraId="6B9354CF" w14:textId="3B4CD26C" w:rsidR="00F12DD7" w:rsidRDefault="00F12DD7" w:rsidP="00F12DD7">
      <w:pPr>
        <w:pStyle w:val="BodyText"/>
        <w:sectPr w:rsidR="00F12DD7" w:rsidSect="004E43B0">
          <w:pgSz w:w="11906" w:h="16838" w:code="9"/>
          <w:pgMar w:top="1134" w:right="1440" w:bottom="851" w:left="1440" w:header="709" w:footer="284" w:gutter="0"/>
          <w:cols w:space="708"/>
          <w:docGrid w:linePitch="360"/>
        </w:sectPr>
      </w:pPr>
      <w:bookmarkStart w:id="9" w:name="Undo_AECOM_Portrait_Landscape_12x02z46"/>
      <w:bookmarkEnd w:id="9"/>
    </w:p>
    <w:p w14:paraId="44A30438" w14:textId="77777777" w:rsidR="00AC6AAF" w:rsidRPr="00542F08" w:rsidRDefault="00AC6AAF" w:rsidP="00AC6AAF">
      <w:pPr>
        <w:pStyle w:val="Heading"/>
        <w:pageBreakBefore/>
      </w:pPr>
      <w:bookmarkStart w:id="10" w:name="Text_QualityInformation"/>
      <w:r>
        <w:lastRenderedPageBreak/>
        <w:t>Quality information</w:t>
      </w:r>
      <w:bookmarkEnd w:id="10"/>
    </w:p>
    <w:tbl>
      <w:tblPr>
        <w:tblW w:w="495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552"/>
        <w:gridCol w:w="425"/>
        <w:gridCol w:w="2835"/>
        <w:gridCol w:w="425"/>
        <w:gridCol w:w="2811"/>
      </w:tblGrid>
      <w:tr w:rsidR="00AC6AAF" w:rsidRPr="00445AF7" w14:paraId="44ACFA7E" w14:textId="77777777" w:rsidTr="00F05BB8">
        <w:tc>
          <w:tcPr>
            <w:tcW w:w="2552" w:type="dxa"/>
            <w:tcBorders>
              <w:top w:val="nil"/>
              <w:left w:val="nil"/>
              <w:bottom w:val="single" w:sz="12" w:space="0" w:color="00B5E2"/>
              <w:right w:val="nil"/>
              <w:tl2br w:val="nil"/>
              <w:tr2bl w:val="nil"/>
            </w:tcBorders>
            <w:shd w:val="clear" w:color="auto" w:fill="auto"/>
          </w:tcPr>
          <w:p w14:paraId="3CE5A898" w14:textId="77777777" w:rsidR="00AC6AAF" w:rsidRPr="00445AF7" w:rsidRDefault="00AC6AAF" w:rsidP="00F05BB8">
            <w:pPr>
              <w:pStyle w:val="Tabletext"/>
              <w:jc w:val="both"/>
              <w:rPr>
                <w:b/>
                <w:color w:val="00B5E2"/>
              </w:rPr>
            </w:pPr>
            <w:bookmarkStart w:id="11" w:name="Text_PreparedBy"/>
            <w:r w:rsidRPr="00445AF7">
              <w:rPr>
                <w:b/>
                <w:color w:val="00B5E2"/>
              </w:rPr>
              <w:t>Prepared by</w:t>
            </w:r>
            <w:bookmarkEnd w:id="11"/>
          </w:p>
        </w:tc>
        <w:tc>
          <w:tcPr>
            <w:tcW w:w="425" w:type="dxa"/>
            <w:tcBorders>
              <w:top w:val="nil"/>
              <w:left w:val="nil"/>
              <w:bottom w:val="nil"/>
              <w:right w:val="nil"/>
              <w:tl2br w:val="nil"/>
              <w:tr2bl w:val="nil"/>
            </w:tcBorders>
            <w:shd w:val="clear" w:color="auto" w:fill="auto"/>
          </w:tcPr>
          <w:p w14:paraId="5181974D" w14:textId="77777777" w:rsidR="00AC6AAF" w:rsidRPr="00445AF7" w:rsidRDefault="00AC6AAF" w:rsidP="00F05BB8">
            <w:pPr>
              <w:pStyle w:val="Tabletext"/>
              <w:jc w:val="both"/>
              <w:rPr>
                <w:b/>
                <w:color w:val="00B5E2"/>
              </w:rPr>
            </w:pPr>
          </w:p>
        </w:tc>
        <w:tc>
          <w:tcPr>
            <w:tcW w:w="2835" w:type="dxa"/>
            <w:tcBorders>
              <w:top w:val="nil"/>
              <w:left w:val="nil"/>
              <w:bottom w:val="single" w:sz="12" w:space="0" w:color="00B5E2"/>
              <w:right w:val="nil"/>
              <w:tl2br w:val="nil"/>
              <w:tr2bl w:val="nil"/>
            </w:tcBorders>
            <w:shd w:val="clear" w:color="auto" w:fill="auto"/>
          </w:tcPr>
          <w:p w14:paraId="739634C5" w14:textId="77777777" w:rsidR="00AC6AAF" w:rsidRPr="00445AF7" w:rsidRDefault="00AC6AAF" w:rsidP="00F05BB8">
            <w:pPr>
              <w:pStyle w:val="Tabletext"/>
              <w:jc w:val="both"/>
              <w:rPr>
                <w:b/>
                <w:color w:val="00B5E2"/>
              </w:rPr>
            </w:pPr>
            <w:bookmarkStart w:id="12" w:name="Text_CheckedBy"/>
            <w:r w:rsidRPr="00445AF7">
              <w:rPr>
                <w:b/>
                <w:color w:val="00B5E2"/>
              </w:rPr>
              <w:t>Checked by</w:t>
            </w:r>
            <w:bookmarkEnd w:id="12"/>
          </w:p>
        </w:tc>
        <w:tc>
          <w:tcPr>
            <w:tcW w:w="425" w:type="dxa"/>
            <w:tcBorders>
              <w:top w:val="nil"/>
              <w:left w:val="nil"/>
              <w:bottom w:val="nil"/>
              <w:right w:val="nil"/>
              <w:tl2br w:val="nil"/>
              <w:tr2bl w:val="nil"/>
            </w:tcBorders>
            <w:shd w:val="clear" w:color="auto" w:fill="auto"/>
          </w:tcPr>
          <w:p w14:paraId="64735490" w14:textId="77777777" w:rsidR="00AC6AAF" w:rsidRPr="00445AF7" w:rsidRDefault="00AC6AAF" w:rsidP="00F05BB8">
            <w:pPr>
              <w:pStyle w:val="Tabletext"/>
              <w:jc w:val="both"/>
              <w:rPr>
                <w:b/>
                <w:color w:val="00B5E2"/>
              </w:rPr>
            </w:pPr>
          </w:p>
        </w:tc>
        <w:tc>
          <w:tcPr>
            <w:tcW w:w="2811" w:type="dxa"/>
            <w:tcBorders>
              <w:top w:val="nil"/>
              <w:left w:val="nil"/>
              <w:bottom w:val="single" w:sz="12" w:space="0" w:color="00B5E2"/>
              <w:right w:val="nil"/>
              <w:tl2br w:val="nil"/>
              <w:tr2bl w:val="nil"/>
            </w:tcBorders>
            <w:shd w:val="clear" w:color="auto" w:fill="auto"/>
          </w:tcPr>
          <w:p w14:paraId="378000D7" w14:textId="77777777" w:rsidR="00AC6AAF" w:rsidRPr="00445AF7" w:rsidRDefault="00AC6AAF" w:rsidP="00F05BB8">
            <w:pPr>
              <w:pStyle w:val="Tabletext"/>
              <w:jc w:val="both"/>
              <w:rPr>
                <w:b/>
                <w:color w:val="00B5E2"/>
              </w:rPr>
            </w:pPr>
            <w:bookmarkStart w:id="13" w:name="Text_ApprovedBy"/>
            <w:r w:rsidRPr="00445AF7">
              <w:rPr>
                <w:b/>
                <w:color w:val="00B5E2"/>
              </w:rPr>
              <w:t>Approved by</w:t>
            </w:r>
            <w:bookmarkEnd w:id="13"/>
          </w:p>
        </w:tc>
      </w:tr>
      <w:tr w:rsidR="00AC6AAF" w:rsidRPr="00445AF7" w14:paraId="2DAF3847" w14:textId="77777777" w:rsidTr="00F05BB8">
        <w:tc>
          <w:tcPr>
            <w:tcW w:w="2552" w:type="dxa"/>
            <w:shd w:val="clear" w:color="auto" w:fill="auto"/>
          </w:tcPr>
          <w:p w14:paraId="3F68E73B" w14:textId="77777777" w:rsidR="00AC6AAF" w:rsidRDefault="00AC6AAF" w:rsidP="00F05BB8">
            <w:pPr>
              <w:pStyle w:val="Tabletext"/>
              <w:jc w:val="both"/>
            </w:pPr>
            <w:r>
              <w:t>Akwesi Osei – Graduate Consultant</w:t>
            </w:r>
          </w:p>
          <w:p w14:paraId="3B128B11" w14:textId="252BE6FD" w:rsidR="00AC6AAF" w:rsidRPr="00445AF7" w:rsidRDefault="00AC6AAF" w:rsidP="00F05BB8">
            <w:pPr>
              <w:pStyle w:val="Tabletext"/>
              <w:jc w:val="both"/>
            </w:pPr>
            <w:r>
              <w:t>Lucy Wildsmith – Planning Intern</w:t>
            </w:r>
          </w:p>
        </w:tc>
        <w:tc>
          <w:tcPr>
            <w:tcW w:w="425" w:type="dxa"/>
            <w:tcBorders>
              <w:top w:val="nil"/>
              <w:bottom w:val="nil"/>
            </w:tcBorders>
            <w:shd w:val="clear" w:color="auto" w:fill="auto"/>
          </w:tcPr>
          <w:p w14:paraId="516DD61A" w14:textId="77777777" w:rsidR="00AC6AAF" w:rsidRPr="00445AF7" w:rsidRDefault="00AC6AAF" w:rsidP="00F05BB8">
            <w:pPr>
              <w:pStyle w:val="Tabletext"/>
              <w:jc w:val="both"/>
            </w:pPr>
          </w:p>
        </w:tc>
        <w:tc>
          <w:tcPr>
            <w:tcW w:w="2835" w:type="dxa"/>
            <w:shd w:val="clear" w:color="auto" w:fill="auto"/>
          </w:tcPr>
          <w:p w14:paraId="7DBB95DB" w14:textId="77777777" w:rsidR="00AC6AAF" w:rsidRPr="00445AF7" w:rsidRDefault="00AC6AAF" w:rsidP="00F05BB8">
            <w:pPr>
              <w:pStyle w:val="Tabletext"/>
              <w:jc w:val="both"/>
            </w:pPr>
            <w:r>
              <w:t>Jesse Honey – Associate Director</w:t>
            </w:r>
          </w:p>
        </w:tc>
        <w:tc>
          <w:tcPr>
            <w:tcW w:w="425" w:type="dxa"/>
            <w:tcBorders>
              <w:top w:val="nil"/>
              <w:bottom w:val="nil"/>
            </w:tcBorders>
            <w:shd w:val="clear" w:color="auto" w:fill="auto"/>
          </w:tcPr>
          <w:p w14:paraId="207100C6" w14:textId="77777777" w:rsidR="00AC6AAF" w:rsidRPr="00445AF7" w:rsidRDefault="00AC6AAF" w:rsidP="00F05BB8">
            <w:pPr>
              <w:pStyle w:val="Tabletext"/>
              <w:jc w:val="both"/>
            </w:pPr>
          </w:p>
        </w:tc>
        <w:tc>
          <w:tcPr>
            <w:tcW w:w="2811" w:type="dxa"/>
            <w:shd w:val="clear" w:color="auto" w:fill="auto"/>
          </w:tcPr>
          <w:p w14:paraId="2A377C7B" w14:textId="77777777" w:rsidR="00AC6AAF" w:rsidRPr="00445AF7" w:rsidRDefault="00AC6AAF" w:rsidP="00F05BB8">
            <w:pPr>
              <w:pStyle w:val="Tabletext"/>
              <w:jc w:val="both"/>
            </w:pPr>
            <w:r>
              <w:t>Jesse Honey- Associate Director</w:t>
            </w:r>
          </w:p>
        </w:tc>
      </w:tr>
      <w:tr w:rsidR="00AC6AAF" w:rsidRPr="00445AF7" w14:paraId="74F498FD" w14:textId="77777777" w:rsidTr="00F05BB8">
        <w:tc>
          <w:tcPr>
            <w:tcW w:w="2552" w:type="dxa"/>
            <w:shd w:val="clear" w:color="auto" w:fill="auto"/>
          </w:tcPr>
          <w:p w14:paraId="360EBB1C" w14:textId="77777777" w:rsidR="00AC6AAF" w:rsidRPr="00445AF7" w:rsidRDefault="00AC6AAF" w:rsidP="00F05BB8">
            <w:pPr>
              <w:pStyle w:val="Tabletext"/>
              <w:jc w:val="both"/>
            </w:pPr>
            <w:bookmarkStart w:id="14" w:name="Contact2"/>
            <w:bookmarkEnd w:id="14"/>
          </w:p>
        </w:tc>
        <w:tc>
          <w:tcPr>
            <w:tcW w:w="425" w:type="dxa"/>
            <w:tcBorders>
              <w:top w:val="nil"/>
              <w:bottom w:val="nil"/>
            </w:tcBorders>
            <w:shd w:val="clear" w:color="auto" w:fill="auto"/>
          </w:tcPr>
          <w:p w14:paraId="6E2CE74D" w14:textId="77777777" w:rsidR="00AC6AAF" w:rsidRPr="00445AF7" w:rsidRDefault="00AC6AAF" w:rsidP="00F05BB8">
            <w:pPr>
              <w:pStyle w:val="Tabletext"/>
              <w:jc w:val="both"/>
            </w:pPr>
          </w:p>
        </w:tc>
        <w:tc>
          <w:tcPr>
            <w:tcW w:w="2835" w:type="dxa"/>
            <w:shd w:val="clear" w:color="auto" w:fill="auto"/>
          </w:tcPr>
          <w:p w14:paraId="4BB275C6" w14:textId="77777777" w:rsidR="00AC6AAF" w:rsidRPr="00445AF7" w:rsidRDefault="00AC6AAF" w:rsidP="00F05BB8">
            <w:pPr>
              <w:pStyle w:val="Tabletext"/>
              <w:jc w:val="both"/>
            </w:pPr>
            <w:bookmarkStart w:id="15" w:name="CheckedBy"/>
            <w:bookmarkEnd w:id="15"/>
          </w:p>
        </w:tc>
        <w:tc>
          <w:tcPr>
            <w:tcW w:w="425" w:type="dxa"/>
            <w:tcBorders>
              <w:top w:val="nil"/>
              <w:bottom w:val="nil"/>
            </w:tcBorders>
            <w:shd w:val="clear" w:color="auto" w:fill="auto"/>
          </w:tcPr>
          <w:p w14:paraId="185D1010" w14:textId="77777777" w:rsidR="00AC6AAF" w:rsidRPr="00445AF7" w:rsidRDefault="00AC6AAF" w:rsidP="00F05BB8">
            <w:pPr>
              <w:pStyle w:val="Tabletext"/>
              <w:jc w:val="both"/>
            </w:pPr>
          </w:p>
        </w:tc>
        <w:tc>
          <w:tcPr>
            <w:tcW w:w="2811" w:type="dxa"/>
            <w:shd w:val="clear" w:color="auto" w:fill="auto"/>
          </w:tcPr>
          <w:p w14:paraId="453DF534" w14:textId="77777777" w:rsidR="00AC6AAF" w:rsidRPr="00445AF7" w:rsidRDefault="00AC6AAF" w:rsidP="00F05BB8">
            <w:pPr>
              <w:pStyle w:val="Tabletext"/>
              <w:jc w:val="both"/>
            </w:pPr>
            <w:bookmarkStart w:id="16" w:name="ApprovedBy"/>
            <w:bookmarkEnd w:id="16"/>
          </w:p>
        </w:tc>
      </w:tr>
    </w:tbl>
    <w:p w14:paraId="669E1E97" w14:textId="77777777" w:rsidR="00AC6AAF" w:rsidRDefault="00AC6AAF" w:rsidP="00AC6AAF">
      <w:pPr>
        <w:pStyle w:val="BodyText"/>
      </w:pPr>
    </w:p>
    <w:p w14:paraId="5B086A49" w14:textId="77777777" w:rsidR="00AC6AAF" w:rsidRDefault="00AC6AAF" w:rsidP="00AC6AAF"/>
    <w:p w14:paraId="6CE24DC8" w14:textId="77777777" w:rsidR="00AC6AAF" w:rsidRDefault="00AC6AAF" w:rsidP="00AC6AAF">
      <w:pPr>
        <w:pStyle w:val="Heading"/>
      </w:pPr>
      <w:bookmarkStart w:id="17" w:name="Text_RevisionHistory"/>
      <w:r>
        <w:t>Revision History</w:t>
      </w:r>
      <w:bookmarkEnd w:id="17"/>
    </w:p>
    <w:tbl>
      <w:tblPr>
        <w:tblW w:w="495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1508"/>
        <w:gridCol w:w="1508"/>
        <w:gridCol w:w="1508"/>
        <w:gridCol w:w="1508"/>
        <w:gridCol w:w="1508"/>
        <w:gridCol w:w="1508"/>
      </w:tblGrid>
      <w:tr w:rsidR="00AC6AAF" w:rsidRPr="00445AF7" w14:paraId="62A0ED66" w14:textId="77777777" w:rsidTr="00F05BB8">
        <w:tc>
          <w:tcPr>
            <w:tcW w:w="1508" w:type="dxa"/>
            <w:tcBorders>
              <w:top w:val="nil"/>
              <w:left w:val="nil"/>
              <w:bottom w:val="single" w:sz="12" w:space="0" w:color="00B5E2"/>
              <w:right w:val="nil"/>
              <w:tl2br w:val="nil"/>
              <w:tr2bl w:val="nil"/>
            </w:tcBorders>
            <w:shd w:val="clear" w:color="auto" w:fill="auto"/>
          </w:tcPr>
          <w:p w14:paraId="40CED4A3" w14:textId="77777777" w:rsidR="00AC6AAF" w:rsidRPr="00445AF7" w:rsidRDefault="00AC6AAF" w:rsidP="00F05BB8">
            <w:pPr>
              <w:pStyle w:val="Tabletext"/>
              <w:jc w:val="both"/>
              <w:rPr>
                <w:b/>
                <w:color w:val="00B5E2"/>
              </w:rPr>
            </w:pPr>
            <w:bookmarkStart w:id="18" w:name="Text_Revision"/>
            <w:r w:rsidRPr="00445AF7">
              <w:rPr>
                <w:b/>
                <w:color w:val="00B5E2"/>
              </w:rPr>
              <w:t>Revision</w:t>
            </w:r>
            <w:bookmarkEnd w:id="18"/>
          </w:p>
        </w:tc>
        <w:tc>
          <w:tcPr>
            <w:tcW w:w="1508" w:type="dxa"/>
            <w:tcBorders>
              <w:top w:val="nil"/>
              <w:left w:val="nil"/>
              <w:bottom w:val="single" w:sz="12" w:space="0" w:color="00B5E2"/>
              <w:right w:val="nil"/>
              <w:tl2br w:val="nil"/>
              <w:tr2bl w:val="nil"/>
            </w:tcBorders>
            <w:shd w:val="clear" w:color="auto" w:fill="auto"/>
          </w:tcPr>
          <w:p w14:paraId="59C0491B" w14:textId="77777777" w:rsidR="00AC6AAF" w:rsidRPr="00445AF7" w:rsidRDefault="00AC6AAF" w:rsidP="00F05BB8">
            <w:pPr>
              <w:pStyle w:val="Tabletext"/>
              <w:jc w:val="both"/>
              <w:rPr>
                <w:color w:val="00B5E2"/>
              </w:rPr>
            </w:pPr>
            <w:bookmarkStart w:id="19" w:name="Text_RevisionDate"/>
            <w:r w:rsidRPr="00445AF7">
              <w:rPr>
                <w:b/>
                <w:color w:val="00B5E2"/>
              </w:rPr>
              <w:t>Revision date</w:t>
            </w:r>
            <w:bookmarkEnd w:id="19"/>
          </w:p>
        </w:tc>
        <w:tc>
          <w:tcPr>
            <w:tcW w:w="1508" w:type="dxa"/>
            <w:tcBorders>
              <w:top w:val="nil"/>
              <w:left w:val="nil"/>
              <w:bottom w:val="single" w:sz="12" w:space="0" w:color="00B5E2"/>
              <w:right w:val="nil"/>
              <w:tl2br w:val="nil"/>
              <w:tr2bl w:val="nil"/>
            </w:tcBorders>
            <w:shd w:val="clear" w:color="auto" w:fill="auto"/>
          </w:tcPr>
          <w:p w14:paraId="40C16D1F" w14:textId="77777777" w:rsidR="00AC6AAF" w:rsidRPr="00445AF7" w:rsidRDefault="00AC6AAF" w:rsidP="00F05BB8">
            <w:pPr>
              <w:pStyle w:val="Tabletext"/>
              <w:jc w:val="both"/>
              <w:rPr>
                <w:b/>
                <w:color w:val="00B5E2"/>
              </w:rPr>
            </w:pPr>
            <w:bookmarkStart w:id="20" w:name="Text_Details"/>
            <w:r w:rsidRPr="00445AF7">
              <w:rPr>
                <w:b/>
                <w:color w:val="00B5E2"/>
              </w:rPr>
              <w:t>Details</w:t>
            </w:r>
            <w:bookmarkEnd w:id="20"/>
          </w:p>
        </w:tc>
        <w:tc>
          <w:tcPr>
            <w:tcW w:w="1508" w:type="dxa"/>
            <w:tcBorders>
              <w:top w:val="nil"/>
              <w:left w:val="nil"/>
              <w:bottom w:val="single" w:sz="12" w:space="0" w:color="00B5E2"/>
              <w:right w:val="nil"/>
              <w:tl2br w:val="nil"/>
              <w:tr2bl w:val="nil"/>
            </w:tcBorders>
            <w:shd w:val="clear" w:color="auto" w:fill="auto"/>
          </w:tcPr>
          <w:p w14:paraId="57840FB5" w14:textId="77777777" w:rsidR="00AC6AAF" w:rsidRPr="00445AF7" w:rsidRDefault="00AC6AAF" w:rsidP="00F05BB8">
            <w:pPr>
              <w:pStyle w:val="Tabletext"/>
              <w:jc w:val="both"/>
              <w:rPr>
                <w:b/>
                <w:color w:val="00B5E2"/>
              </w:rPr>
            </w:pPr>
            <w:bookmarkStart w:id="21" w:name="Text_Authorized"/>
            <w:r w:rsidRPr="00445AF7">
              <w:rPr>
                <w:b/>
                <w:color w:val="00B5E2"/>
              </w:rPr>
              <w:t>Authorized</w:t>
            </w:r>
            <w:bookmarkEnd w:id="21"/>
          </w:p>
        </w:tc>
        <w:tc>
          <w:tcPr>
            <w:tcW w:w="1508" w:type="dxa"/>
            <w:tcBorders>
              <w:top w:val="nil"/>
              <w:left w:val="nil"/>
              <w:bottom w:val="single" w:sz="12" w:space="0" w:color="00B5E2"/>
              <w:right w:val="nil"/>
              <w:tl2br w:val="nil"/>
              <w:tr2bl w:val="nil"/>
            </w:tcBorders>
            <w:shd w:val="clear" w:color="auto" w:fill="auto"/>
          </w:tcPr>
          <w:p w14:paraId="005B7D9B" w14:textId="77777777" w:rsidR="00AC6AAF" w:rsidRPr="00445AF7" w:rsidRDefault="00AC6AAF" w:rsidP="00F05BB8">
            <w:pPr>
              <w:pStyle w:val="Tabletext"/>
              <w:jc w:val="both"/>
              <w:rPr>
                <w:b/>
                <w:color w:val="00B5E2"/>
              </w:rPr>
            </w:pPr>
            <w:bookmarkStart w:id="22" w:name="Text_Name"/>
            <w:r w:rsidRPr="00445AF7">
              <w:rPr>
                <w:b/>
                <w:color w:val="00B5E2"/>
              </w:rPr>
              <w:t>Name</w:t>
            </w:r>
            <w:bookmarkEnd w:id="22"/>
          </w:p>
        </w:tc>
        <w:tc>
          <w:tcPr>
            <w:tcW w:w="1508" w:type="dxa"/>
            <w:tcBorders>
              <w:top w:val="nil"/>
              <w:left w:val="nil"/>
              <w:bottom w:val="single" w:sz="12" w:space="0" w:color="00B5E2"/>
              <w:right w:val="nil"/>
              <w:tl2br w:val="nil"/>
              <w:tr2bl w:val="nil"/>
            </w:tcBorders>
            <w:shd w:val="clear" w:color="auto" w:fill="auto"/>
          </w:tcPr>
          <w:p w14:paraId="50EE5788" w14:textId="77777777" w:rsidR="00AC6AAF" w:rsidRPr="00445AF7" w:rsidRDefault="00AC6AAF" w:rsidP="00F05BB8">
            <w:pPr>
              <w:pStyle w:val="Tabletext"/>
              <w:jc w:val="both"/>
              <w:rPr>
                <w:b/>
                <w:color w:val="00B5E2"/>
              </w:rPr>
            </w:pPr>
            <w:bookmarkStart w:id="23" w:name="Text_Position"/>
            <w:r w:rsidRPr="00445AF7">
              <w:rPr>
                <w:b/>
                <w:color w:val="00B5E2"/>
              </w:rPr>
              <w:t>Position</w:t>
            </w:r>
            <w:bookmarkEnd w:id="23"/>
          </w:p>
        </w:tc>
      </w:tr>
      <w:tr w:rsidR="00AC6AAF" w:rsidRPr="00445AF7" w14:paraId="7AC0BACF" w14:textId="77777777" w:rsidTr="00F05BB8">
        <w:tc>
          <w:tcPr>
            <w:tcW w:w="1508" w:type="dxa"/>
            <w:shd w:val="clear" w:color="auto" w:fill="auto"/>
          </w:tcPr>
          <w:p w14:paraId="52C046FB" w14:textId="77777777" w:rsidR="00AC6AAF" w:rsidRPr="00445AF7" w:rsidRDefault="00AC6AAF" w:rsidP="00F05BB8">
            <w:pPr>
              <w:pStyle w:val="Tabletext"/>
            </w:pPr>
            <w:bookmarkStart w:id="24" w:name="RevisionStatus"/>
            <w:bookmarkEnd w:id="24"/>
            <w:r>
              <w:t>1</w:t>
            </w:r>
          </w:p>
        </w:tc>
        <w:tc>
          <w:tcPr>
            <w:tcW w:w="1508" w:type="dxa"/>
            <w:shd w:val="clear" w:color="auto" w:fill="auto"/>
          </w:tcPr>
          <w:p w14:paraId="356FFEB9" w14:textId="1598F467" w:rsidR="00AC6AAF" w:rsidRPr="00445AF7" w:rsidRDefault="00AC6AAF" w:rsidP="00F05BB8">
            <w:pPr>
              <w:pStyle w:val="Tabletext"/>
            </w:pPr>
            <w:r>
              <w:t>May 2019</w:t>
            </w:r>
          </w:p>
        </w:tc>
        <w:tc>
          <w:tcPr>
            <w:tcW w:w="1508" w:type="dxa"/>
            <w:shd w:val="clear" w:color="auto" w:fill="auto"/>
          </w:tcPr>
          <w:p w14:paraId="248BDC7F" w14:textId="77777777" w:rsidR="00AC6AAF" w:rsidRPr="00445AF7" w:rsidRDefault="00AC6AAF" w:rsidP="00F05BB8">
            <w:pPr>
              <w:pStyle w:val="Tabletext"/>
            </w:pPr>
            <w:r>
              <w:t>Research and drafting</w:t>
            </w:r>
          </w:p>
        </w:tc>
        <w:tc>
          <w:tcPr>
            <w:tcW w:w="1508" w:type="dxa"/>
            <w:shd w:val="clear" w:color="auto" w:fill="auto"/>
          </w:tcPr>
          <w:p w14:paraId="2496AD16" w14:textId="77777777" w:rsidR="00AC6AAF" w:rsidRPr="00445AF7" w:rsidRDefault="00AC6AAF" w:rsidP="00F05BB8">
            <w:pPr>
              <w:pStyle w:val="Tabletext"/>
            </w:pPr>
            <w:r>
              <w:t>AO</w:t>
            </w:r>
          </w:p>
        </w:tc>
        <w:tc>
          <w:tcPr>
            <w:tcW w:w="1508" w:type="dxa"/>
            <w:shd w:val="clear" w:color="auto" w:fill="auto"/>
          </w:tcPr>
          <w:p w14:paraId="437ADA44" w14:textId="77777777" w:rsidR="00AC6AAF" w:rsidRPr="00445AF7" w:rsidRDefault="00AC6AAF" w:rsidP="00F05BB8">
            <w:pPr>
              <w:pStyle w:val="Tabletext"/>
            </w:pPr>
            <w:r>
              <w:t>Akwesi Osei</w:t>
            </w:r>
          </w:p>
        </w:tc>
        <w:tc>
          <w:tcPr>
            <w:tcW w:w="1508" w:type="dxa"/>
            <w:shd w:val="clear" w:color="auto" w:fill="auto"/>
          </w:tcPr>
          <w:p w14:paraId="5B144229" w14:textId="77777777" w:rsidR="00AC6AAF" w:rsidRPr="008C7D00" w:rsidRDefault="00AC6AAF" w:rsidP="00F05BB8">
            <w:pPr>
              <w:pStyle w:val="Tabletext"/>
              <w:rPr>
                <w:rFonts w:ascii="Cambria" w:hAnsi="Cambria"/>
                <w:b/>
                <w:color w:val="4F81BD"/>
              </w:rPr>
            </w:pPr>
            <w:r>
              <w:t>Graduate Planner</w:t>
            </w:r>
          </w:p>
          <w:p w14:paraId="333B0878" w14:textId="77777777" w:rsidR="00AC6AAF" w:rsidRPr="00445AF7" w:rsidRDefault="00AC6AAF" w:rsidP="00F05BB8">
            <w:pPr>
              <w:pStyle w:val="Tabletext"/>
            </w:pPr>
          </w:p>
        </w:tc>
      </w:tr>
      <w:tr w:rsidR="00AC6AAF" w:rsidRPr="00445AF7" w14:paraId="708F3783" w14:textId="77777777" w:rsidTr="00F05BB8">
        <w:tc>
          <w:tcPr>
            <w:tcW w:w="1508" w:type="dxa"/>
            <w:shd w:val="clear" w:color="auto" w:fill="auto"/>
          </w:tcPr>
          <w:p w14:paraId="4ECB8186" w14:textId="77777777" w:rsidR="00AC6AAF" w:rsidRPr="00445AF7" w:rsidRDefault="00AC6AAF" w:rsidP="00F05BB8">
            <w:pPr>
              <w:pStyle w:val="Tabletext"/>
            </w:pPr>
            <w:r>
              <w:t>2</w:t>
            </w:r>
          </w:p>
        </w:tc>
        <w:tc>
          <w:tcPr>
            <w:tcW w:w="1508" w:type="dxa"/>
            <w:shd w:val="clear" w:color="auto" w:fill="auto"/>
          </w:tcPr>
          <w:p w14:paraId="7034C1ED" w14:textId="48268463" w:rsidR="00AC6AAF" w:rsidRPr="00445AF7" w:rsidRDefault="00AC6AAF" w:rsidP="00F05BB8">
            <w:pPr>
              <w:pStyle w:val="Tabletext"/>
            </w:pPr>
            <w:r>
              <w:t>May 2019</w:t>
            </w:r>
          </w:p>
        </w:tc>
        <w:tc>
          <w:tcPr>
            <w:tcW w:w="1508" w:type="dxa"/>
            <w:shd w:val="clear" w:color="auto" w:fill="auto"/>
          </w:tcPr>
          <w:p w14:paraId="33008F8B" w14:textId="77777777" w:rsidR="00AC6AAF" w:rsidRPr="00445AF7" w:rsidRDefault="00AC6AAF" w:rsidP="00F05BB8">
            <w:pPr>
              <w:pStyle w:val="Tabletext"/>
            </w:pPr>
            <w:r>
              <w:t>Technical review</w:t>
            </w:r>
          </w:p>
        </w:tc>
        <w:tc>
          <w:tcPr>
            <w:tcW w:w="1508" w:type="dxa"/>
            <w:shd w:val="clear" w:color="auto" w:fill="auto"/>
          </w:tcPr>
          <w:p w14:paraId="378F9772" w14:textId="77777777" w:rsidR="00AC6AAF" w:rsidRPr="00445AF7" w:rsidRDefault="00AC6AAF" w:rsidP="00F05BB8">
            <w:pPr>
              <w:pStyle w:val="Tabletext"/>
            </w:pPr>
            <w:r>
              <w:t>JH</w:t>
            </w:r>
          </w:p>
        </w:tc>
        <w:tc>
          <w:tcPr>
            <w:tcW w:w="1508" w:type="dxa"/>
            <w:shd w:val="clear" w:color="auto" w:fill="auto"/>
          </w:tcPr>
          <w:p w14:paraId="1AB1C2FD" w14:textId="77777777" w:rsidR="00AC6AAF" w:rsidRPr="00445AF7" w:rsidRDefault="00AC6AAF" w:rsidP="00F05BB8">
            <w:pPr>
              <w:pStyle w:val="Tabletext"/>
            </w:pPr>
            <w:r>
              <w:t>Jesse Honey</w:t>
            </w:r>
          </w:p>
        </w:tc>
        <w:tc>
          <w:tcPr>
            <w:tcW w:w="1508" w:type="dxa"/>
            <w:shd w:val="clear" w:color="auto" w:fill="auto"/>
          </w:tcPr>
          <w:p w14:paraId="30921DD5" w14:textId="77777777" w:rsidR="00AC6AAF" w:rsidRPr="00445AF7" w:rsidRDefault="00AC6AAF" w:rsidP="00F05BB8">
            <w:pPr>
              <w:pStyle w:val="Tabletext"/>
            </w:pPr>
            <w:r>
              <w:t>Associate Director</w:t>
            </w:r>
          </w:p>
        </w:tc>
      </w:tr>
      <w:tr w:rsidR="00AC6AAF" w:rsidRPr="00445AF7" w14:paraId="5A46179C" w14:textId="77777777" w:rsidTr="00F05BB8">
        <w:tc>
          <w:tcPr>
            <w:tcW w:w="1508" w:type="dxa"/>
            <w:tcBorders>
              <w:bottom w:val="single" w:sz="4" w:space="0" w:color="auto"/>
            </w:tcBorders>
            <w:shd w:val="clear" w:color="auto" w:fill="auto"/>
          </w:tcPr>
          <w:p w14:paraId="41519334" w14:textId="77777777" w:rsidR="00AC6AAF" w:rsidRPr="00445AF7" w:rsidRDefault="00AC6AAF" w:rsidP="00F05BB8">
            <w:pPr>
              <w:pStyle w:val="Tabletext"/>
              <w:jc w:val="both"/>
            </w:pPr>
          </w:p>
        </w:tc>
        <w:tc>
          <w:tcPr>
            <w:tcW w:w="1508" w:type="dxa"/>
            <w:tcBorders>
              <w:bottom w:val="single" w:sz="4" w:space="0" w:color="auto"/>
            </w:tcBorders>
            <w:shd w:val="clear" w:color="auto" w:fill="auto"/>
          </w:tcPr>
          <w:p w14:paraId="7188FA0B" w14:textId="77777777" w:rsidR="00AC6AAF" w:rsidRPr="00445AF7" w:rsidRDefault="00AC6AAF" w:rsidP="00F05BB8">
            <w:pPr>
              <w:pStyle w:val="Tabletext"/>
              <w:jc w:val="both"/>
            </w:pPr>
          </w:p>
        </w:tc>
        <w:tc>
          <w:tcPr>
            <w:tcW w:w="1508" w:type="dxa"/>
            <w:tcBorders>
              <w:bottom w:val="single" w:sz="4" w:space="0" w:color="auto"/>
            </w:tcBorders>
            <w:shd w:val="clear" w:color="auto" w:fill="auto"/>
          </w:tcPr>
          <w:p w14:paraId="2EED7521" w14:textId="77777777" w:rsidR="00AC6AAF" w:rsidRPr="00445AF7" w:rsidRDefault="00AC6AAF" w:rsidP="00F05BB8">
            <w:pPr>
              <w:pStyle w:val="Tabletext"/>
              <w:jc w:val="both"/>
            </w:pPr>
          </w:p>
        </w:tc>
        <w:tc>
          <w:tcPr>
            <w:tcW w:w="1508" w:type="dxa"/>
            <w:tcBorders>
              <w:bottom w:val="single" w:sz="4" w:space="0" w:color="auto"/>
            </w:tcBorders>
            <w:shd w:val="clear" w:color="auto" w:fill="auto"/>
          </w:tcPr>
          <w:p w14:paraId="66B333A6" w14:textId="77777777" w:rsidR="00AC6AAF" w:rsidRPr="00445AF7" w:rsidRDefault="00AC6AAF" w:rsidP="00F05BB8">
            <w:pPr>
              <w:pStyle w:val="Tabletext"/>
              <w:jc w:val="both"/>
            </w:pPr>
          </w:p>
        </w:tc>
        <w:tc>
          <w:tcPr>
            <w:tcW w:w="1508" w:type="dxa"/>
            <w:tcBorders>
              <w:bottom w:val="single" w:sz="4" w:space="0" w:color="auto"/>
            </w:tcBorders>
            <w:shd w:val="clear" w:color="auto" w:fill="auto"/>
          </w:tcPr>
          <w:p w14:paraId="03D15E25" w14:textId="77777777" w:rsidR="00AC6AAF" w:rsidRPr="00445AF7" w:rsidRDefault="00AC6AAF" w:rsidP="00F05BB8">
            <w:pPr>
              <w:pStyle w:val="Tabletext"/>
              <w:jc w:val="both"/>
            </w:pPr>
          </w:p>
        </w:tc>
        <w:tc>
          <w:tcPr>
            <w:tcW w:w="1508" w:type="dxa"/>
            <w:tcBorders>
              <w:bottom w:val="single" w:sz="4" w:space="0" w:color="auto"/>
            </w:tcBorders>
            <w:shd w:val="clear" w:color="auto" w:fill="auto"/>
          </w:tcPr>
          <w:p w14:paraId="12156811" w14:textId="77777777" w:rsidR="00AC6AAF" w:rsidRPr="00445AF7" w:rsidRDefault="00AC6AAF" w:rsidP="00F05BB8">
            <w:pPr>
              <w:pStyle w:val="Tabletext"/>
              <w:jc w:val="both"/>
            </w:pPr>
          </w:p>
        </w:tc>
      </w:tr>
      <w:tr w:rsidR="00AC6AAF" w:rsidRPr="00445AF7" w14:paraId="64991798" w14:textId="77777777" w:rsidTr="00F05BB8">
        <w:tc>
          <w:tcPr>
            <w:tcW w:w="1508" w:type="dxa"/>
            <w:tcBorders>
              <w:top w:val="single" w:sz="4" w:space="0" w:color="auto"/>
              <w:bottom w:val="single" w:sz="4" w:space="0" w:color="auto"/>
            </w:tcBorders>
            <w:shd w:val="clear" w:color="auto" w:fill="auto"/>
          </w:tcPr>
          <w:p w14:paraId="4E04A7CB" w14:textId="77777777" w:rsidR="00AC6AAF" w:rsidRPr="00445AF7" w:rsidRDefault="00AC6AAF" w:rsidP="00F05BB8">
            <w:pPr>
              <w:pStyle w:val="Tabletext"/>
              <w:jc w:val="both"/>
            </w:pPr>
          </w:p>
        </w:tc>
        <w:tc>
          <w:tcPr>
            <w:tcW w:w="1508" w:type="dxa"/>
            <w:tcBorders>
              <w:top w:val="single" w:sz="4" w:space="0" w:color="auto"/>
              <w:bottom w:val="single" w:sz="4" w:space="0" w:color="auto"/>
            </w:tcBorders>
            <w:shd w:val="clear" w:color="auto" w:fill="auto"/>
          </w:tcPr>
          <w:p w14:paraId="23A5F4B5" w14:textId="77777777" w:rsidR="00AC6AAF" w:rsidRPr="00445AF7" w:rsidRDefault="00AC6AAF" w:rsidP="00F05BB8">
            <w:pPr>
              <w:pStyle w:val="Tabletext"/>
              <w:jc w:val="both"/>
            </w:pPr>
          </w:p>
        </w:tc>
        <w:tc>
          <w:tcPr>
            <w:tcW w:w="1508" w:type="dxa"/>
            <w:tcBorders>
              <w:top w:val="single" w:sz="4" w:space="0" w:color="auto"/>
              <w:bottom w:val="single" w:sz="4" w:space="0" w:color="auto"/>
            </w:tcBorders>
            <w:shd w:val="clear" w:color="auto" w:fill="auto"/>
          </w:tcPr>
          <w:p w14:paraId="30A9950D" w14:textId="77777777" w:rsidR="00AC6AAF" w:rsidRPr="00445AF7" w:rsidRDefault="00AC6AAF" w:rsidP="00F05BB8">
            <w:pPr>
              <w:pStyle w:val="Tabletext"/>
              <w:jc w:val="both"/>
            </w:pPr>
          </w:p>
        </w:tc>
        <w:tc>
          <w:tcPr>
            <w:tcW w:w="1508" w:type="dxa"/>
            <w:tcBorders>
              <w:top w:val="single" w:sz="4" w:space="0" w:color="auto"/>
              <w:bottom w:val="single" w:sz="4" w:space="0" w:color="auto"/>
            </w:tcBorders>
            <w:shd w:val="clear" w:color="auto" w:fill="auto"/>
          </w:tcPr>
          <w:p w14:paraId="74C7F0A1" w14:textId="77777777" w:rsidR="00AC6AAF" w:rsidRPr="00445AF7" w:rsidRDefault="00AC6AAF" w:rsidP="00F05BB8">
            <w:pPr>
              <w:pStyle w:val="Tabletext"/>
              <w:jc w:val="both"/>
            </w:pPr>
          </w:p>
        </w:tc>
        <w:tc>
          <w:tcPr>
            <w:tcW w:w="1508" w:type="dxa"/>
            <w:tcBorders>
              <w:top w:val="single" w:sz="4" w:space="0" w:color="auto"/>
              <w:bottom w:val="single" w:sz="4" w:space="0" w:color="auto"/>
            </w:tcBorders>
            <w:shd w:val="clear" w:color="auto" w:fill="auto"/>
          </w:tcPr>
          <w:p w14:paraId="356759AF" w14:textId="77777777" w:rsidR="00AC6AAF" w:rsidRPr="00445AF7" w:rsidRDefault="00AC6AAF" w:rsidP="00F05BB8">
            <w:pPr>
              <w:pStyle w:val="Tabletext"/>
              <w:jc w:val="both"/>
            </w:pPr>
          </w:p>
        </w:tc>
        <w:tc>
          <w:tcPr>
            <w:tcW w:w="1508" w:type="dxa"/>
            <w:tcBorders>
              <w:top w:val="single" w:sz="4" w:space="0" w:color="auto"/>
              <w:bottom w:val="single" w:sz="4" w:space="0" w:color="auto"/>
            </w:tcBorders>
            <w:shd w:val="clear" w:color="auto" w:fill="auto"/>
          </w:tcPr>
          <w:p w14:paraId="58E85887" w14:textId="77777777" w:rsidR="00AC6AAF" w:rsidRPr="00445AF7" w:rsidRDefault="00AC6AAF" w:rsidP="00F05BB8">
            <w:pPr>
              <w:pStyle w:val="Tabletext"/>
              <w:jc w:val="both"/>
            </w:pPr>
          </w:p>
        </w:tc>
      </w:tr>
    </w:tbl>
    <w:p w14:paraId="01075352" w14:textId="77777777" w:rsidR="00067457" w:rsidRDefault="00067457" w:rsidP="00067457">
      <w:pPr>
        <w:tabs>
          <w:tab w:val="clear" w:pos="284"/>
        </w:tabs>
        <w:spacing w:line="240" w:lineRule="auto"/>
      </w:pPr>
    </w:p>
    <w:p w14:paraId="11141FD9" w14:textId="77777777" w:rsidR="00067457" w:rsidRDefault="00067457" w:rsidP="00067457">
      <w:pPr>
        <w:tabs>
          <w:tab w:val="clear" w:pos="284"/>
        </w:tabs>
        <w:spacing w:line="240" w:lineRule="auto"/>
      </w:pPr>
    </w:p>
    <w:p w14:paraId="4C167E02" w14:textId="77777777" w:rsidR="00067457" w:rsidRDefault="00067457" w:rsidP="00067457">
      <w:pPr>
        <w:tabs>
          <w:tab w:val="clear" w:pos="284"/>
        </w:tabs>
        <w:spacing w:line="240" w:lineRule="auto"/>
      </w:pPr>
    </w:p>
    <w:p w14:paraId="15ECDE38" w14:textId="1E97A30C" w:rsidR="00067457" w:rsidRDefault="00067457">
      <w:pPr>
        <w:tabs>
          <w:tab w:val="clear" w:pos="284"/>
        </w:tabs>
        <w:spacing w:line="240" w:lineRule="auto"/>
      </w:pPr>
      <w:r>
        <w:br w:type="page"/>
      </w:r>
    </w:p>
    <w:p w14:paraId="3B15D114" w14:textId="77777777" w:rsidR="00067457" w:rsidRDefault="00067457" w:rsidP="00067457">
      <w:pPr>
        <w:pStyle w:val="BodyText"/>
      </w:pPr>
    </w:p>
    <w:p w14:paraId="4F02B1B9" w14:textId="77777777" w:rsidR="00831688" w:rsidRPr="008952D6" w:rsidRDefault="005A1F44" w:rsidP="00542F08">
      <w:pPr>
        <w:pStyle w:val="Heading"/>
      </w:pPr>
      <w:bookmarkStart w:id="25" w:name="Text_PreparedFor"/>
      <w:r>
        <w:t>Prepared for</w:t>
      </w:r>
      <w:bookmarkEnd w:id="25"/>
      <w:r w:rsidR="00831688" w:rsidRPr="008952D6">
        <w:t>:</w:t>
      </w:r>
    </w:p>
    <w:p w14:paraId="3568EEA8" w14:textId="2DF8DAB5" w:rsidR="002F3B02" w:rsidRPr="00F00F27" w:rsidRDefault="00E80CC8" w:rsidP="0081688E">
      <w:r w:rsidRPr="00F00F27">
        <w:fldChar w:fldCharType="begin"/>
      </w:r>
      <w:r w:rsidRPr="00F00F27">
        <w:instrText xml:space="preserve"> DOCPROPERTY  ClientName \* MERGEFORMAT </w:instrText>
      </w:r>
      <w:r w:rsidRPr="00F00F27">
        <w:fldChar w:fldCharType="end"/>
      </w:r>
      <w:bookmarkStart w:id="26" w:name="FooterClientAddress"/>
      <w:bookmarkEnd w:id="26"/>
      <w:r w:rsidR="00F00F27" w:rsidRPr="00F00F27">
        <w:t>Copdock and Washbrook</w:t>
      </w:r>
      <w:r w:rsidR="008A0558" w:rsidRPr="00F00F27">
        <w:t xml:space="preserve"> Parish Council</w:t>
      </w:r>
    </w:p>
    <w:p w14:paraId="159884D1" w14:textId="77777777" w:rsidR="00831688" w:rsidRDefault="00831688" w:rsidP="0080040C">
      <w:pPr>
        <w:pStyle w:val="BodyText"/>
      </w:pPr>
    </w:p>
    <w:p w14:paraId="0D481361" w14:textId="62D41515" w:rsidR="005A1F44" w:rsidRDefault="005A1F44" w:rsidP="006F461B">
      <w:pPr>
        <w:pStyle w:val="Heading"/>
      </w:pPr>
      <w:bookmarkStart w:id="27" w:name="Text_PreparedBy_1"/>
      <w:r>
        <w:t>Prepared by</w:t>
      </w:r>
      <w:bookmarkEnd w:id="27"/>
      <w:r w:rsidR="000F22FF">
        <w:t>:</w:t>
      </w:r>
      <w:bookmarkStart w:id="28" w:name="Contact1"/>
    </w:p>
    <w:p w14:paraId="211C1973" w14:textId="77777777" w:rsidR="005A1F44" w:rsidRDefault="005A1F44" w:rsidP="0081688E"/>
    <w:bookmarkEnd w:id="28"/>
    <w:p w14:paraId="4E0926DF" w14:textId="181AFC31" w:rsidR="005A1F44" w:rsidRDefault="007D60D8" w:rsidP="0081688E">
      <w:r>
        <w:t>‌</w:t>
      </w:r>
      <w:bookmarkStart w:id="29" w:name="OfficeAddress1"/>
      <w:r w:rsidR="00DB21AD">
        <w:t>AECOM</w:t>
      </w:r>
    </w:p>
    <w:p w14:paraId="50250789" w14:textId="77777777" w:rsidR="005A1F44" w:rsidRDefault="005A1F44" w:rsidP="0081688E">
      <w:r>
        <w:t>Aldgate Tower</w:t>
      </w:r>
    </w:p>
    <w:p w14:paraId="379EFA65" w14:textId="77777777" w:rsidR="005A1F44" w:rsidRDefault="005A1F44" w:rsidP="0081688E">
      <w:r>
        <w:t>2 Leman Street</w:t>
      </w:r>
    </w:p>
    <w:p w14:paraId="68F8D68C" w14:textId="77777777" w:rsidR="005A1F44" w:rsidRDefault="005A1F44" w:rsidP="0081688E">
      <w:r>
        <w:t>London</w:t>
      </w:r>
    </w:p>
    <w:p w14:paraId="2D4B9B3E" w14:textId="77777777" w:rsidR="005A1F44" w:rsidRDefault="005A1F44" w:rsidP="0081688E">
      <w:r>
        <w:t>E1 8FA</w:t>
      </w:r>
    </w:p>
    <w:p w14:paraId="488F5FF5" w14:textId="77777777" w:rsidR="000F22FF" w:rsidRDefault="005A1F44" w:rsidP="0081688E">
      <w:r>
        <w:t>aecom.com</w:t>
      </w:r>
      <w:bookmarkEnd w:id="29"/>
    </w:p>
    <w:p w14:paraId="3F6109F4" w14:textId="77777777" w:rsidR="00A609EC" w:rsidRDefault="00A609EC" w:rsidP="0080040C">
      <w:pPr>
        <w:pStyle w:val="BodyText"/>
      </w:pPr>
    </w:p>
    <w:p w14:paraId="08C7A837" w14:textId="5EEE7826" w:rsidR="00A609EC" w:rsidRPr="0080040C" w:rsidRDefault="00B15801" w:rsidP="0080040C">
      <w:pPr>
        <w:pStyle w:val="Heading"/>
      </w:pPr>
      <w:fldSimple w:instr=" DOCPROPERTY  InAssociationWith \* MERGEFORMAT ">
        <w:r w:rsidR="004F6699">
          <w:t xml:space="preserve"> </w:t>
        </w:r>
      </w:fldSimple>
    </w:p>
    <w:p w14:paraId="6E8CFFE6" w14:textId="5283352A" w:rsidR="00A609EC" w:rsidRPr="0080040C" w:rsidRDefault="00E80CC8" w:rsidP="0081688E">
      <w:r>
        <w:fldChar w:fldCharType="begin"/>
      </w:r>
      <w:r>
        <w:instrText xml:space="preserve"> DOCPROPERTY  AdditionalCompanyName \* MERGEFORMAT </w:instrText>
      </w:r>
      <w:r>
        <w:fldChar w:fldCharType="end"/>
      </w:r>
    </w:p>
    <w:p w14:paraId="3242040E" w14:textId="0C9E55F0" w:rsidR="00A609EC" w:rsidRDefault="00A609EC" w:rsidP="0080040C">
      <w:pPr>
        <w:pStyle w:val="BodyText"/>
      </w:pPr>
    </w:p>
    <w:p w14:paraId="31538A04" w14:textId="0726EE77" w:rsidR="00AC6AAF" w:rsidRDefault="00AC6AAF" w:rsidP="0080040C">
      <w:pPr>
        <w:pStyle w:val="BodyText"/>
      </w:pPr>
    </w:p>
    <w:p w14:paraId="34F263F4" w14:textId="77777777" w:rsidR="00CD1EA1" w:rsidRDefault="00CD1EA1" w:rsidP="00CD1EA1">
      <w:pPr>
        <w:tabs>
          <w:tab w:val="clear" w:pos="284"/>
        </w:tabs>
        <w:spacing w:line="240" w:lineRule="auto"/>
      </w:pPr>
    </w:p>
    <w:p w14:paraId="51F14C46" w14:textId="348E3E2E" w:rsidR="00CD1EA1" w:rsidRPr="0036321E" w:rsidRDefault="00520410" w:rsidP="00CD1EA1">
      <w:pPr>
        <w:pStyle w:val="BodyText"/>
        <w:rPr>
          <w:color w:val="000000" w:themeColor="text1"/>
        </w:rPr>
      </w:pPr>
      <w:bookmarkStart w:id="30" w:name="Copyright"/>
      <w:r>
        <w:rPr>
          <w:color w:val="000000" w:themeColor="text1"/>
        </w:rPr>
        <w:t>© 2019</w:t>
      </w:r>
      <w:r w:rsidR="00DB21AD" w:rsidRPr="0036321E">
        <w:rPr>
          <w:color w:val="000000" w:themeColor="text1"/>
        </w:rPr>
        <w:t xml:space="preserve"> AECOM</w:t>
      </w:r>
      <w:r w:rsidR="005A1F44" w:rsidRPr="0036321E">
        <w:rPr>
          <w:color w:val="000000" w:themeColor="text1"/>
        </w:rPr>
        <w:t xml:space="preserve">. All Rights Reserved.  </w:t>
      </w:r>
      <w:bookmarkEnd w:id="30"/>
    </w:p>
    <w:p w14:paraId="079CDE4C" w14:textId="77777777" w:rsidR="0036321E" w:rsidRPr="0036321E" w:rsidRDefault="0036321E" w:rsidP="0036321E">
      <w:pPr>
        <w:rPr>
          <w:color w:val="000000" w:themeColor="text1"/>
          <w:lang w:val="en-US"/>
        </w:rPr>
      </w:pPr>
      <w:r w:rsidRPr="0036321E">
        <w:rPr>
          <w:color w:val="000000" w:themeColor="text1"/>
          <w:lang w:val="en-US"/>
        </w:rPr>
        <w:t>This document has been prepared by AECOM Limited (“AECOM”) in accordance with its contract with Locality (the “Client”) and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AECOM shall have no liability to any third party that makes use of or relies upon this document.</w:t>
      </w:r>
    </w:p>
    <w:p w14:paraId="175F2C65" w14:textId="77777777" w:rsidR="006F014F" w:rsidRDefault="006F014F">
      <w:pPr>
        <w:tabs>
          <w:tab w:val="clear" w:pos="284"/>
        </w:tabs>
        <w:spacing w:line="240" w:lineRule="auto"/>
      </w:pPr>
    </w:p>
    <w:p w14:paraId="709B446C" w14:textId="77777777" w:rsidR="006F014F" w:rsidRDefault="006F014F" w:rsidP="006F014F">
      <w:pPr>
        <w:widowControl w:val="0"/>
        <w:jc w:val="both"/>
        <w:rPr>
          <w:color w:val="000000" w:themeColor="text1"/>
        </w:rPr>
      </w:pPr>
    </w:p>
    <w:p w14:paraId="0F9CCE89" w14:textId="77777777" w:rsidR="006F014F" w:rsidRDefault="006F014F" w:rsidP="006F014F">
      <w:pPr>
        <w:widowControl w:val="0"/>
        <w:jc w:val="both"/>
        <w:rPr>
          <w:color w:val="000000" w:themeColor="text1"/>
        </w:rPr>
      </w:pPr>
    </w:p>
    <w:p w14:paraId="0DAC1572" w14:textId="77777777" w:rsidR="006F014F" w:rsidRDefault="006F014F" w:rsidP="006F014F">
      <w:pPr>
        <w:jc w:val="both"/>
        <w:rPr>
          <w:color w:val="000000"/>
          <w:lang w:val="en-US"/>
        </w:rPr>
      </w:pPr>
    </w:p>
    <w:p w14:paraId="1DBF6852" w14:textId="77777777" w:rsidR="006F014F" w:rsidRDefault="006F014F" w:rsidP="006F014F">
      <w:pPr>
        <w:pStyle w:val="Default"/>
        <w:pBdr>
          <w:top w:val="single" w:sz="4" w:space="1" w:color="auto"/>
          <w:left w:val="single" w:sz="4" w:space="4" w:color="auto"/>
          <w:bottom w:val="single" w:sz="4" w:space="1" w:color="auto"/>
          <w:right w:val="single" w:sz="4" w:space="4" w:color="auto"/>
        </w:pBdr>
        <w:jc w:val="both"/>
        <w:rPr>
          <w:sz w:val="18"/>
          <w:szCs w:val="18"/>
        </w:rPr>
      </w:pPr>
      <w:r>
        <w:rPr>
          <w:b/>
          <w:bCs/>
          <w:sz w:val="18"/>
          <w:szCs w:val="18"/>
        </w:rPr>
        <w:t xml:space="preserve">Disclaimer </w:t>
      </w:r>
    </w:p>
    <w:p w14:paraId="5311C437" w14:textId="501BD9C5" w:rsidR="006F014F" w:rsidRPr="00445AF7" w:rsidRDefault="006F014F" w:rsidP="006F014F">
      <w:pPr>
        <w:pBdr>
          <w:top w:val="single" w:sz="4" w:space="1" w:color="auto"/>
          <w:left w:val="single" w:sz="4" w:space="4" w:color="auto"/>
          <w:bottom w:val="single" w:sz="4" w:space="1" w:color="auto"/>
          <w:right w:val="single" w:sz="4" w:space="4" w:color="auto"/>
        </w:pBdr>
        <w:jc w:val="both"/>
        <w:rPr>
          <w:color w:val="000000"/>
          <w:lang w:val="en-US"/>
        </w:rPr>
      </w:pPr>
      <w:r>
        <w:t xml:space="preserve">This document is intended to aid the preparation of the Neighbourhood Plan, and can be used to guide decision making and as evidence to support Plan policies, if the </w:t>
      </w:r>
      <w:r w:rsidR="00695BCF">
        <w:t>Parish Council</w:t>
      </w:r>
      <w:r>
        <w:t xml:space="preserve"> so chooses. It is not a neighbourhood plan policy document. It is a ‘snapshot’ in time and may become superseded by more recent information. The </w:t>
      </w:r>
      <w:r w:rsidR="00597838">
        <w:t xml:space="preserve">Parish </w:t>
      </w:r>
      <w:r>
        <w:t xml:space="preserve">Council is not bound to accept its conclusions. If any party can demonstrate that any of the evidence presented herein is inaccurate or out of date, such evidence can be presented to the </w:t>
      </w:r>
      <w:r w:rsidR="00695BCF">
        <w:t xml:space="preserve">Parish </w:t>
      </w:r>
      <w:r>
        <w:t xml:space="preserve">Council at the consultation stage. Where evidence from elsewhere conflicts with this report, the </w:t>
      </w:r>
      <w:r w:rsidR="00695BCF">
        <w:t xml:space="preserve">Parish Council </w:t>
      </w:r>
      <w:r>
        <w:t>should decide what policy position to take in the Neighbourhood Plan and that judgement should be documented so that it can be defended at the Examination stage.</w:t>
      </w:r>
    </w:p>
    <w:p w14:paraId="6BA1552F" w14:textId="77777777" w:rsidR="006F014F" w:rsidRDefault="006F014F" w:rsidP="006F014F">
      <w:pPr>
        <w:widowControl w:val="0"/>
        <w:jc w:val="both"/>
        <w:rPr>
          <w:color w:val="000000" w:themeColor="text1"/>
        </w:rPr>
      </w:pPr>
    </w:p>
    <w:p w14:paraId="274DD8CC" w14:textId="5B6CCC6D" w:rsidR="00695BCF" w:rsidRDefault="00695BCF">
      <w:pPr>
        <w:tabs>
          <w:tab w:val="clear" w:pos="284"/>
        </w:tabs>
        <w:spacing w:line="240" w:lineRule="auto"/>
        <w:rPr>
          <w:color w:val="000000" w:themeColor="text1"/>
        </w:rPr>
      </w:pPr>
      <w:r>
        <w:rPr>
          <w:color w:val="000000" w:themeColor="text1"/>
        </w:rPr>
        <w:br w:type="page"/>
      </w:r>
    </w:p>
    <w:p w14:paraId="77EB582C" w14:textId="77777777" w:rsidR="006F014F" w:rsidRPr="00284BD9" w:rsidRDefault="006F014F" w:rsidP="006F014F">
      <w:pPr>
        <w:widowControl w:val="0"/>
        <w:jc w:val="both"/>
        <w:rPr>
          <w:color w:val="000000" w:themeColor="text1"/>
        </w:rPr>
      </w:pPr>
    </w:p>
    <w:p w14:paraId="1B3FD665" w14:textId="59024AA7" w:rsidR="000D13AF" w:rsidRDefault="000D13AF">
      <w:pPr>
        <w:tabs>
          <w:tab w:val="clear" w:pos="284"/>
        </w:tabs>
        <w:spacing w:line="240" w:lineRule="auto"/>
      </w:pPr>
    </w:p>
    <w:p w14:paraId="7B10919E" w14:textId="77777777" w:rsidR="003964F2" w:rsidRDefault="003964F2" w:rsidP="003964F2">
      <w:pPr>
        <w:pStyle w:val="TOCHeading"/>
        <w:rPr>
          <w:noProof/>
        </w:rPr>
      </w:pPr>
      <w:bookmarkStart w:id="31" w:name="Text_Contents"/>
      <w:bookmarkStart w:id="32" w:name="TOC"/>
      <w:r>
        <w:rPr>
          <w:noProof/>
        </w:rPr>
        <w:t>Table of Contents</w:t>
      </w:r>
      <w:bookmarkEnd w:id="31"/>
    </w:p>
    <w:p w14:paraId="06967AA4" w14:textId="77777777" w:rsidR="00AB5682" w:rsidRPr="00AB5682" w:rsidRDefault="003964F2">
      <w:pPr>
        <w:pStyle w:val="TOC1"/>
        <w:rPr>
          <w:rFonts w:asciiTheme="minorHAnsi" w:eastAsiaTheme="minorEastAsia" w:hAnsiTheme="minorHAnsi"/>
          <w:noProof/>
          <w:kern w:val="0"/>
          <w:sz w:val="22"/>
          <w:szCs w:val="22"/>
          <w:lang w:eastAsia="en-GB"/>
        </w:rPr>
      </w:pPr>
      <w:r>
        <w:rPr>
          <w:noProof/>
        </w:rPr>
        <w:fldChar w:fldCharType="begin"/>
      </w:r>
      <w:r>
        <w:rPr>
          <w:noProof/>
        </w:rPr>
        <w:instrText xml:space="preserve"> TOC \o "1-4" \z \u </w:instrText>
      </w:r>
      <w:r>
        <w:rPr>
          <w:noProof/>
        </w:rPr>
        <w:fldChar w:fldCharType="separate"/>
      </w:r>
      <w:r w:rsidR="00AB5682">
        <w:rPr>
          <w:noProof/>
        </w:rPr>
        <w:t>1.</w:t>
      </w:r>
      <w:r w:rsidR="00AB5682">
        <w:rPr>
          <w:rFonts w:asciiTheme="minorHAnsi" w:eastAsiaTheme="minorEastAsia" w:hAnsiTheme="minorHAnsi"/>
          <w:noProof/>
          <w:kern w:val="0"/>
          <w:sz w:val="22"/>
          <w:szCs w:val="22"/>
          <w:lang w:eastAsia="en-GB"/>
        </w:rPr>
        <w:tab/>
      </w:r>
      <w:r w:rsidR="00AB5682" w:rsidRPr="00AB5682">
        <w:rPr>
          <w:noProof/>
        </w:rPr>
        <w:t>Executive Summary</w:t>
      </w:r>
      <w:r w:rsidR="00AB5682" w:rsidRPr="00AB5682">
        <w:rPr>
          <w:noProof/>
          <w:webHidden/>
        </w:rPr>
        <w:tab/>
      </w:r>
      <w:r w:rsidR="00AB5682" w:rsidRPr="00D56987">
        <w:rPr>
          <w:noProof/>
          <w:webHidden/>
        </w:rPr>
        <w:fldChar w:fldCharType="begin"/>
      </w:r>
      <w:r w:rsidR="00AB5682" w:rsidRPr="00AB5682">
        <w:rPr>
          <w:noProof/>
          <w:webHidden/>
        </w:rPr>
        <w:instrText xml:space="preserve"> PAGEREF _Toc7789705 \h </w:instrText>
      </w:r>
      <w:r w:rsidR="00AB5682" w:rsidRPr="00D56987">
        <w:rPr>
          <w:noProof/>
          <w:webHidden/>
        </w:rPr>
      </w:r>
      <w:r w:rsidR="00AB5682" w:rsidRPr="00D56987">
        <w:rPr>
          <w:noProof/>
          <w:webHidden/>
        </w:rPr>
        <w:fldChar w:fldCharType="separate"/>
      </w:r>
      <w:r w:rsidR="00AB5682" w:rsidRPr="00AB5682">
        <w:rPr>
          <w:noProof/>
          <w:webHidden/>
        </w:rPr>
        <w:t>6</w:t>
      </w:r>
      <w:r w:rsidR="00AB5682" w:rsidRPr="00D56987">
        <w:rPr>
          <w:noProof/>
          <w:webHidden/>
        </w:rPr>
        <w:fldChar w:fldCharType="end"/>
      </w:r>
    </w:p>
    <w:p w14:paraId="55EBA438" w14:textId="77777777" w:rsidR="00AB5682" w:rsidRPr="00AB5682" w:rsidRDefault="00AB5682">
      <w:pPr>
        <w:pStyle w:val="TOC1"/>
        <w:rPr>
          <w:rFonts w:asciiTheme="minorHAnsi" w:eastAsiaTheme="minorEastAsia" w:hAnsiTheme="minorHAnsi"/>
          <w:noProof/>
          <w:kern w:val="0"/>
          <w:sz w:val="22"/>
          <w:szCs w:val="22"/>
          <w:lang w:eastAsia="en-GB"/>
        </w:rPr>
      </w:pPr>
      <w:r w:rsidRPr="00AB5682">
        <w:rPr>
          <w:noProof/>
        </w:rPr>
        <w:t>2.</w:t>
      </w:r>
      <w:r w:rsidRPr="00AB5682">
        <w:rPr>
          <w:rFonts w:asciiTheme="minorHAnsi" w:eastAsiaTheme="minorEastAsia" w:hAnsiTheme="minorHAnsi"/>
          <w:noProof/>
          <w:kern w:val="0"/>
          <w:sz w:val="22"/>
          <w:szCs w:val="22"/>
          <w:lang w:eastAsia="en-GB"/>
        </w:rPr>
        <w:tab/>
      </w:r>
      <w:r w:rsidRPr="00AB5682">
        <w:rPr>
          <w:noProof/>
        </w:rPr>
        <w:t>Context</w:t>
      </w:r>
      <w:r w:rsidRPr="00AB5682">
        <w:rPr>
          <w:noProof/>
          <w:webHidden/>
        </w:rPr>
        <w:tab/>
      </w:r>
      <w:r w:rsidRPr="00D56987">
        <w:rPr>
          <w:noProof/>
          <w:webHidden/>
        </w:rPr>
        <w:fldChar w:fldCharType="begin"/>
      </w:r>
      <w:r w:rsidRPr="00AB5682">
        <w:rPr>
          <w:noProof/>
          <w:webHidden/>
        </w:rPr>
        <w:instrText xml:space="preserve"> PAGEREF _Toc7789706 \h </w:instrText>
      </w:r>
      <w:r w:rsidRPr="00D56987">
        <w:rPr>
          <w:noProof/>
          <w:webHidden/>
        </w:rPr>
      </w:r>
      <w:r w:rsidRPr="00D56987">
        <w:rPr>
          <w:noProof/>
          <w:webHidden/>
        </w:rPr>
        <w:fldChar w:fldCharType="separate"/>
      </w:r>
      <w:r w:rsidRPr="00AB5682">
        <w:rPr>
          <w:noProof/>
          <w:webHidden/>
        </w:rPr>
        <w:t>7</w:t>
      </w:r>
      <w:r w:rsidRPr="00D56987">
        <w:rPr>
          <w:noProof/>
          <w:webHidden/>
        </w:rPr>
        <w:fldChar w:fldCharType="end"/>
      </w:r>
    </w:p>
    <w:p w14:paraId="4C07CC7D"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lang w:val="en-US"/>
        </w:rPr>
        <w:t>2.1</w:t>
      </w:r>
      <w:r w:rsidRPr="00AB5682">
        <w:rPr>
          <w:rFonts w:eastAsiaTheme="minorEastAsia"/>
          <w:noProof/>
          <w:kern w:val="0"/>
          <w:sz w:val="22"/>
          <w:szCs w:val="22"/>
          <w:lang w:eastAsia="en-GB"/>
        </w:rPr>
        <w:tab/>
      </w:r>
      <w:r w:rsidRPr="00AB5682">
        <w:rPr>
          <w:noProof/>
          <w:lang w:val="en-US"/>
        </w:rPr>
        <w:t>Local context</w:t>
      </w:r>
      <w:r w:rsidRPr="00AB5682">
        <w:rPr>
          <w:noProof/>
          <w:webHidden/>
        </w:rPr>
        <w:tab/>
      </w:r>
      <w:r w:rsidRPr="00D56987">
        <w:rPr>
          <w:noProof/>
          <w:webHidden/>
        </w:rPr>
        <w:fldChar w:fldCharType="begin"/>
      </w:r>
      <w:r w:rsidRPr="00AB5682">
        <w:rPr>
          <w:noProof/>
          <w:webHidden/>
        </w:rPr>
        <w:instrText xml:space="preserve"> PAGEREF _Toc7789707 \h </w:instrText>
      </w:r>
      <w:r w:rsidRPr="00D56987">
        <w:rPr>
          <w:noProof/>
          <w:webHidden/>
        </w:rPr>
      </w:r>
      <w:r w:rsidRPr="00D56987">
        <w:rPr>
          <w:noProof/>
          <w:webHidden/>
        </w:rPr>
        <w:fldChar w:fldCharType="separate"/>
      </w:r>
      <w:r w:rsidRPr="00AB5682">
        <w:rPr>
          <w:noProof/>
          <w:webHidden/>
        </w:rPr>
        <w:t>7</w:t>
      </w:r>
      <w:r w:rsidRPr="00D56987">
        <w:rPr>
          <w:noProof/>
          <w:webHidden/>
        </w:rPr>
        <w:fldChar w:fldCharType="end"/>
      </w:r>
    </w:p>
    <w:p w14:paraId="623CB093"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lang w:val="en-US"/>
        </w:rPr>
        <w:t>2.2</w:t>
      </w:r>
      <w:r w:rsidRPr="00AB5682">
        <w:rPr>
          <w:rFonts w:eastAsiaTheme="minorEastAsia"/>
          <w:noProof/>
          <w:kern w:val="0"/>
          <w:sz w:val="22"/>
          <w:szCs w:val="22"/>
          <w:lang w:eastAsia="en-GB"/>
        </w:rPr>
        <w:tab/>
      </w:r>
      <w:r w:rsidRPr="00AB5682">
        <w:rPr>
          <w:noProof/>
          <w:lang w:val="en-US"/>
        </w:rPr>
        <w:t>Planning policy context</w:t>
      </w:r>
      <w:r w:rsidRPr="00AB5682">
        <w:rPr>
          <w:noProof/>
          <w:webHidden/>
        </w:rPr>
        <w:tab/>
      </w:r>
      <w:r w:rsidRPr="00D56987">
        <w:rPr>
          <w:noProof/>
          <w:webHidden/>
        </w:rPr>
        <w:fldChar w:fldCharType="begin"/>
      </w:r>
      <w:r w:rsidRPr="00AB5682">
        <w:rPr>
          <w:noProof/>
          <w:webHidden/>
        </w:rPr>
        <w:instrText xml:space="preserve"> PAGEREF _Toc7789708 \h </w:instrText>
      </w:r>
      <w:r w:rsidRPr="00D56987">
        <w:rPr>
          <w:noProof/>
          <w:webHidden/>
        </w:rPr>
      </w:r>
      <w:r w:rsidRPr="00D56987">
        <w:rPr>
          <w:noProof/>
          <w:webHidden/>
        </w:rPr>
        <w:fldChar w:fldCharType="separate"/>
      </w:r>
      <w:r w:rsidRPr="00AB5682">
        <w:rPr>
          <w:noProof/>
          <w:webHidden/>
        </w:rPr>
        <w:t>8</w:t>
      </w:r>
      <w:r w:rsidRPr="00D56987">
        <w:rPr>
          <w:noProof/>
          <w:webHidden/>
        </w:rPr>
        <w:fldChar w:fldCharType="end"/>
      </w:r>
    </w:p>
    <w:p w14:paraId="4D4ED716"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2.2.1</w:t>
      </w:r>
      <w:r w:rsidRPr="00AB5682">
        <w:rPr>
          <w:rFonts w:eastAsiaTheme="minorEastAsia"/>
          <w:noProof/>
          <w:kern w:val="0"/>
          <w:sz w:val="22"/>
          <w:szCs w:val="22"/>
          <w:lang w:eastAsia="en-GB"/>
        </w:rPr>
        <w:tab/>
      </w:r>
      <w:r w:rsidRPr="00AB5682">
        <w:rPr>
          <w:noProof/>
        </w:rPr>
        <w:t>Adopted Babergh Local Plan</w:t>
      </w:r>
      <w:r w:rsidRPr="00AB5682">
        <w:rPr>
          <w:noProof/>
          <w:webHidden/>
        </w:rPr>
        <w:tab/>
      </w:r>
      <w:r w:rsidRPr="00D56987">
        <w:rPr>
          <w:noProof/>
          <w:webHidden/>
        </w:rPr>
        <w:fldChar w:fldCharType="begin"/>
      </w:r>
      <w:r w:rsidRPr="00AB5682">
        <w:rPr>
          <w:noProof/>
          <w:webHidden/>
        </w:rPr>
        <w:instrText xml:space="preserve"> PAGEREF _Toc7789709 \h </w:instrText>
      </w:r>
      <w:r w:rsidRPr="00D56987">
        <w:rPr>
          <w:noProof/>
          <w:webHidden/>
        </w:rPr>
      </w:r>
      <w:r w:rsidRPr="00D56987">
        <w:rPr>
          <w:noProof/>
          <w:webHidden/>
        </w:rPr>
        <w:fldChar w:fldCharType="separate"/>
      </w:r>
      <w:r w:rsidRPr="00AB5682">
        <w:rPr>
          <w:noProof/>
          <w:webHidden/>
        </w:rPr>
        <w:t>8</w:t>
      </w:r>
      <w:r w:rsidRPr="00D56987">
        <w:rPr>
          <w:noProof/>
          <w:webHidden/>
        </w:rPr>
        <w:fldChar w:fldCharType="end"/>
      </w:r>
    </w:p>
    <w:p w14:paraId="649E3F1B"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2.2.2</w:t>
      </w:r>
      <w:r w:rsidRPr="00AB5682">
        <w:rPr>
          <w:rFonts w:eastAsiaTheme="minorEastAsia"/>
          <w:noProof/>
          <w:kern w:val="0"/>
          <w:sz w:val="22"/>
          <w:szCs w:val="22"/>
          <w:lang w:eastAsia="en-GB"/>
        </w:rPr>
        <w:tab/>
      </w:r>
      <w:r w:rsidRPr="00AB5682">
        <w:rPr>
          <w:noProof/>
        </w:rPr>
        <w:t>Babergh &amp; Mid Suffolk Joint Local Plan: Consultation Document August 2017</w:t>
      </w:r>
      <w:r w:rsidRPr="00AB5682">
        <w:rPr>
          <w:noProof/>
          <w:webHidden/>
        </w:rPr>
        <w:tab/>
      </w:r>
      <w:r w:rsidRPr="00D56987">
        <w:rPr>
          <w:noProof/>
          <w:webHidden/>
        </w:rPr>
        <w:fldChar w:fldCharType="begin"/>
      </w:r>
      <w:r w:rsidRPr="00AB5682">
        <w:rPr>
          <w:noProof/>
          <w:webHidden/>
        </w:rPr>
        <w:instrText xml:space="preserve"> PAGEREF _Toc7789710 \h </w:instrText>
      </w:r>
      <w:r w:rsidRPr="00D56987">
        <w:rPr>
          <w:noProof/>
          <w:webHidden/>
        </w:rPr>
      </w:r>
      <w:r w:rsidRPr="00D56987">
        <w:rPr>
          <w:noProof/>
          <w:webHidden/>
        </w:rPr>
        <w:fldChar w:fldCharType="separate"/>
      </w:r>
      <w:r w:rsidRPr="00AB5682">
        <w:rPr>
          <w:noProof/>
          <w:webHidden/>
        </w:rPr>
        <w:t>9</w:t>
      </w:r>
      <w:r w:rsidRPr="00D56987">
        <w:rPr>
          <w:noProof/>
          <w:webHidden/>
        </w:rPr>
        <w:fldChar w:fldCharType="end"/>
      </w:r>
    </w:p>
    <w:p w14:paraId="25E7E007" w14:textId="77777777" w:rsidR="00AB5682" w:rsidRPr="00AB5682" w:rsidRDefault="00AB5682">
      <w:pPr>
        <w:pStyle w:val="TOC1"/>
        <w:rPr>
          <w:rFonts w:asciiTheme="minorHAnsi" w:eastAsiaTheme="minorEastAsia" w:hAnsiTheme="minorHAnsi"/>
          <w:noProof/>
          <w:kern w:val="0"/>
          <w:sz w:val="22"/>
          <w:szCs w:val="22"/>
          <w:lang w:eastAsia="en-GB"/>
        </w:rPr>
      </w:pPr>
      <w:r w:rsidRPr="00AB5682">
        <w:rPr>
          <w:noProof/>
          <w:lang w:val="en-US"/>
        </w:rPr>
        <w:t>3.</w:t>
      </w:r>
      <w:r w:rsidRPr="00AB5682">
        <w:rPr>
          <w:rFonts w:asciiTheme="minorHAnsi" w:eastAsiaTheme="minorEastAsia" w:hAnsiTheme="minorHAnsi"/>
          <w:noProof/>
          <w:kern w:val="0"/>
          <w:sz w:val="22"/>
          <w:szCs w:val="22"/>
          <w:lang w:eastAsia="en-GB"/>
        </w:rPr>
        <w:tab/>
      </w:r>
      <w:r w:rsidRPr="00AB5682">
        <w:rPr>
          <w:noProof/>
          <w:lang w:val="en-US"/>
        </w:rPr>
        <w:t>Approach</w:t>
      </w:r>
      <w:r w:rsidRPr="00AB5682">
        <w:rPr>
          <w:noProof/>
          <w:webHidden/>
        </w:rPr>
        <w:tab/>
      </w:r>
      <w:r w:rsidRPr="00D56987">
        <w:rPr>
          <w:noProof/>
          <w:webHidden/>
        </w:rPr>
        <w:fldChar w:fldCharType="begin"/>
      </w:r>
      <w:r w:rsidRPr="00AB5682">
        <w:rPr>
          <w:noProof/>
          <w:webHidden/>
        </w:rPr>
        <w:instrText xml:space="preserve"> PAGEREF _Toc7789711 \h </w:instrText>
      </w:r>
      <w:r w:rsidRPr="00D56987">
        <w:rPr>
          <w:noProof/>
          <w:webHidden/>
        </w:rPr>
      </w:r>
      <w:r w:rsidRPr="00D56987">
        <w:rPr>
          <w:noProof/>
          <w:webHidden/>
        </w:rPr>
        <w:fldChar w:fldCharType="separate"/>
      </w:r>
      <w:r w:rsidRPr="00AB5682">
        <w:rPr>
          <w:noProof/>
          <w:webHidden/>
        </w:rPr>
        <w:t>10</w:t>
      </w:r>
      <w:r w:rsidRPr="00D56987">
        <w:rPr>
          <w:noProof/>
          <w:webHidden/>
        </w:rPr>
        <w:fldChar w:fldCharType="end"/>
      </w:r>
    </w:p>
    <w:p w14:paraId="4B8A31A0"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3.1.1</w:t>
      </w:r>
      <w:r w:rsidRPr="00AB5682">
        <w:rPr>
          <w:rFonts w:eastAsiaTheme="minorEastAsia"/>
          <w:noProof/>
          <w:kern w:val="0"/>
          <w:sz w:val="22"/>
          <w:szCs w:val="22"/>
          <w:lang w:eastAsia="en-GB"/>
        </w:rPr>
        <w:tab/>
      </w:r>
      <w:r w:rsidRPr="00AB5682">
        <w:rPr>
          <w:noProof/>
        </w:rPr>
        <w:t>Quantity</w:t>
      </w:r>
      <w:r w:rsidRPr="00AB5682">
        <w:rPr>
          <w:noProof/>
          <w:webHidden/>
        </w:rPr>
        <w:tab/>
      </w:r>
      <w:r w:rsidRPr="00D56987">
        <w:rPr>
          <w:noProof/>
          <w:webHidden/>
        </w:rPr>
        <w:fldChar w:fldCharType="begin"/>
      </w:r>
      <w:r w:rsidRPr="00AB5682">
        <w:rPr>
          <w:noProof/>
          <w:webHidden/>
        </w:rPr>
        <w:instrText xml:space="preserve"> PAGEREF _Toc7789712 \h </w:instrText>
      </w:r>
      <w:r w:rsidRPr="00D56987">
        <w:rPr>
          <w:noProof/>
          <w:webHidden/>
        </w:rPr>
      </w:r>
      <w:r w:rsidRPr="00D56987">
        <w:rPr>
          <w:noProof/>
          <w:webHidden/>
        </w:rPr>
        <w:fldChar w:fldCharType="separate"/>
      </w:r>
      <w:r w:rsidRPr="00AB5682">
        <w:rPr>
          <w:noProof/>
          <w:webHidden/>
        </w:rPr>
        <w:t>10</w:t>
      </w:r>
      <w:r w:rsidRPr="00D56987">
        <w:rPr>
          <w:noProof/>
          <w:webHidden/>
        </w:rPr>
        <w:fldChar w:fldCharType="end"/>
      </w:r>
    </w:p>
    <w:p w14:paraId="0F9EB31A"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3.1.2</w:t>
      </w:r>
      <w:r w:rsidRPr="00AB5682">
        <w:rPr>
          <w:rFonts w:eastAsiaTheme="minorEastAsia"/>
          <w:noProof/>
          <w:kern w:val="0"/>
          <w:sz w:val="22"/>
          <w:szCs w:val="22"/>
          <w:lang w:eastAsia="en-GB"/>
        </w:rPr>
        <w:tab/>
      </w:r>
      <w:r w:rsidRPr="00AB5682">
        <w:rPr>
          <w:noProof/>
        </w:rPr>
        <w:t>Type and size</w:t>
      </w:r>
      <w:r w:rsidRPr="00AB5682">
        <w:rPr>
          <w:noProof/>
          <w:webHidden/>
        </w:rPr>
        <w:tab/>
      </w:r>
      <w:r w:rsidRPr="00D56987">
        <w:rPr>
          <w:noProof/>
          <w:webHidden/>
        </w:rPr>
        <w:fldChar w:fldCharType="begin"/>
      </w:r>
      <w:r w:rsidRPr="00AB5682">
        <w:rPr>
          <w:noProof/>
          <w:webHidden/>
        </w:rPr>
        <w:instrText xml:space="preserve"> PAGEREF _Toc7789713 \h </w:instrText>
      </w:r>
      <w:r w:rsidRPr="00D56987">
        <w:rPr>
          <w:noProof/>
          <w:webHidden/>
        </w:rPr>
      </w:r>
      <w:r w:rsidRPr="00D56987">
        <w:rPr>
          <w:noProof/>
          <w:webHidden/>
        </w:rPr>
        <w:fldChar w:fldCharType="separate"/>
      </w:r>
      <w:r w:rsidRPr="00AB5682">
        <w:rPr>
          <w:noProof/>
          <w:webHidden/>
        </w:rPr>
        <w:t>10</w:t>
      </w:r>
      <w:r w:rsidRPr="00D56987">
        <w:rPr>
          <w:noProof/>
          <w:webHidden/>
        </w:rPr>
        <w:fldChar w:fldCharType="end"/>
      </w:r>
    </w:p>
    <w:p w14:paraId="5649961B"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lang w:val="en-US"/>
        </w:rPr>
        <w:t>3.2</w:t>
      </w:r>
      <w:r w:rsidRPr="00AB5682">
        <w:rPr>
          <w:rFonts w:eastAsiaTheme="minorEastAsia"/>
          <w:noProof/>
          <w:kern w:val="0"/>
          <w:sz w:val="22"/>
          <w:szCs w:val="22"/>
          <w:lang w:eastAsia="en-GB"/>
        </w:rPr>
        <w:tab/>
      </w:r>
      <w:r w:rsidRPr="00AB5682">
        <w:rPr>
          <w:noProof/>
          <w:lang w:val="en-US"/>
        </w:rPr>
        <w:t>Relevant Data</w:t>
      </w:r>
      <w:r w:rsidRPr="00AB5682">
        <w:rPr>
          <w:noProof/>
          <w:webHidden/>
        </w:rPr>
        <w:tab/>
      </w:r>
      <w:r w:rsidRPr="00D56987">
        <w:rPr>
          <w:noProof/>
          <w:webHidden/>
        </w:rPr>
        <w:fldChar w:fldCharType="begin"/>
      </w:r>
      <w:r w:rsidRPr="00AB5682">
        <w:rPr>
          <w:noProof/>
          <w:webHidden/>
        </w:rPr>
        <w:instrText xml:space="preserve"> PAGEREF _Toc7789714 \h </w:instrText>
      </w:r>
      <w:r w:rsidRPr="00D56987">
        <w:rPr>
          <w:noProof/>
          <w:webHidden/>
        </w:rPr>
      </w:r>
      <w:r w:rsidRPr="00D56987">
        <w:rPr>
          <w:noProof/>
          <w:webHidden/>
        </w:rPr>
        <w:fldChar w:fldCharType="separate"/>
      </w:r>
      <w:r w:rsidRPr="00AB5682">
        <w:rPr>
          <w:noProof/>
          <w:webHidden/>
        </w:rPr>
        <w:t>10</w:t>
      </w:r>
      <w:r w:rsidRPr="00D56987">
        <w:rPr>
          <w:noProof/>
          <w:webHidden/>
        </w:rPr>
        <w:fldChar w:fldCharType="end"/>
      </w:r>
    </w:p>
    <w:p w14:paraId="60106359"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3.2.1</w:t>
      </w:r>
      <w:r w:rsidRPr="00AB5682">
        <w:rPr>
          <w:rFonts w:eastAsiaTheme="minorEastAsia"/>
          <w:noProof/>
          <w:kern w:val="0"/>
          <w:sz w:val="22"/>
          <w:szCs w:val="22"/>
          <w:lang w:eastAsia="en-GB"/>
        </w:rPr>
        <w:tab/>
      </w:r>
      <w:r w:rsidRPr="00AB5682">
        <w:rPr>
          <w:noProof/>
        </w:rPr>
        <w:t>Local Authority evidence base</w:t>
      </w:r>
      <w:r w:rsidRPr="00AB5682">
        <w:rPr>
          <w:noProof/>
          <w:webHidden/>
        </w:rPr>
        <w:tab/>
      </w:r>
      <w:r w:rsidRPr="00D56987">
        <w:rPr>
          <w:noProof/>
          <w:webHidden/>
        </w:rPr>
        <w:fldChar w:fldCharType="begin"/>
      </w:r>
      <w:r w:rsidRPr="00AB5682">
        <w:rPr>
          <w:noProof/>
          <w:webHidden/>
        </w:rPr>
        <w:instrText xml:space="preserve"> PAGEREF _Toc7789715 \h </w:instrText>
      </w:r>
      <w:r w:rsidRPr="00D56987">
        <w:rPr>
          <w:noProof/>
          <w:webHidden/>
        </w:rPr>
      </w:r>
      <w:r w:rsidRPr="00D56987">
        <w:rPr>
          <w:noProof/>
          <w:webHidden/>
        </w:rPr>
        <w:fldChar w:fldCharType="separate"/>
      </w:r>
      <w:r w:rsidRPr="00AB5682">
        <w:rPr>
          <w:noProof/>
          <w:webHidden/>
        </w:rPr>
        <w:t>10</w:t>
      </w:r>
      <w:r w:rsidRPr="00D56987">
        <w:rPr>
          <w:noProof/>
          <w:webHidden/>
        </w:rPr>
        <w:fldChar w:fldCharType="end"/>
      </w:r>
    </w:p>
    <w:p w14:paraId="6FC0297E" w14:textId="77777777" w:rsidR="00AB5682" w:rsidRPr="00AB5682" w:rsidRDefault="00AB5682">
      <w:pPr>
        <w:pStyle w:val="TOC1"/>
        <w:rPr>
          <w:rFonts w:asciiTheme="minorHAnsi" w:eastAsiaTheme="minorEastAsia" w:hAnsiTheme="minorHAnsi"/>
          <w:noProof/>
          <w:kern w:val="0"/>
          <w:sz w:val="22"/>
          <w:szCs w:val="22"/>
          <w:lang w:eastAsia="en-GB"/>
        </w:rPr>
      </w:pPr>
      <w:r w:rsidRPr="00AB5682">
        <w:rPr>
          <w:noProof/>
        </w:rPr>
        <w:t>4.</w:t>
      </w:r>
      <w:r w:rsidRPr="00AB5682">
        <w:rPr>
          <w:rFonts w:asciiTheme="minorHAnsi" w:eastAsiaTheme="minorEastAsia" w:hAnsiTheme="minorHAnsi"/>
          <w:noProof/>
          <w:kern w:val="0"/>
          <w:sz w:val="22"/>
          <w:szCs w:val="22"/>
          <w:lang w:eastAsia="en-GB"/>
        </w:rPr>
        <w:tab/>
      </w:r>
      <w:r w:rsidRPr="00AB5682">
        <w:rPr>
          <w:noProof/>
        </w:rPr>
        <w:t>RQ1: Quantity</w:t>
      </w:r>
      <w:r w:rsidRPr="00AB5682">
        <w:rPr>
          <w:noProof/>
          <w:webHidden/>
        </w:rPr>
        <w:tab/>
      </w:r>
      <w:r w:rsidRPr="00D56987">
        <w:rPr>
          <w:noProof/>
          <w:webHidden/>
        </w:rPr>
        <w:fldChar w:fldCharType="begin"/>
      </w:r>
      <w:r w:rsidRPr="00AB5682">
        <w:rPr>
          <w:noProof/>
          <w:webHidden/>
        </w:rPr>
        <w:instrText xml:space="preserve"> PAGEREF _Toc7789716 \h </w:instrText>
      </w:r>
      <w:r w:rsidRPr="00D56987">
        <w:rPr>
          <w:noProof/>
          <w:webHidden/>
        </w:rPr>
      </w:r>
      <w:r w:rsidRPr="00D56987">
        <w:rPr>
          <w:noProof/>
          <w:webHidden/>
        </w:rPr>
        <w:fldChar w:fldCharType="separate"/>
      </w:r>
      <w:r w:rsidRPr="00AB5682">
        <w:rPr>
          <w:noProof/>
          <w:webHidden/>
        </w:rPr>
        <w:t>11</w:t>
      </w:r>
      <w:r w:rsidRPr="00D56987">
        <w:rPr>
          <w:noProof/>
          <w:webHidden/>
        </w:rPr>
        <w:fldChar w:fldCharType="end"/>
      </w:r>
    </w:p>
    <w:p w14:paraId="3A04B0A6" w14:textId="77777777" w:rsidR="00AB5682" w:rsidRPr="00AB5682" w:rsidRDefault="00AB5682">
      <w:pPr>
        <w:pStyle w:val="TOC3"/>
        <w:tabs>
          <w:tab w:val="left" w:pos="1260"/>
        </w:tabs>
        <w:rPr>
          <w:rFonts w:eastAsiaTheme="minorEastAsia"/>
          <w:noProof/>
          <w:kern w:val="0"/>
          <w:sz w:val="22"/>
          <w:szCs w:val="22"/>
          <w:lang w:eastAsia="en-GB"/>
        </w:rPr>
      </w:pPr>
      <w:r w:rsidRPr="00AB5682">
        <w:rPr>
          <w:rFonts w:cs="Arial"/>
          <w:b/>
          <w:noProof/>
        </w:rPr>
        <w:t>4.1.1</w:t>
      </w:r>
      <w:r w:rsidRPr="00AB5682">
        <w:rPr>
          <w:rFonts w:eastAsiaTheme="minorEastAsia"/>
          <w:noProof/>
          <w:kern w:val="0"/>
          <w:sz w:val="22"/>
          <w:szCs w:val="22"/>
          <w:lang w:eastAsia="en-GB"/>
        </w:rPr>
        <w:tab/>
      </w:r>
      <w:r w:rsidRPr="00AB5682">
        <w:rPr>
          <w:noProof/>
        </w:rPr>
        <w:t>Introduction</w:t>
      </w:r>
      <w:r w:rsidRPr="00AB5682">
        <w:rPr>
          <w:noProof/>
          <w:webHidden/>
        </w:rPr>
        <w:tab/>
      </w:r>
      <w:r w:rsidRPr="00D56987">
        <w:rPr>
          <w:noProof/>
          <w:webHidden/>
        </w:rPr>
        <w:fldChar w:fldCharType="begin"/>
      </w:r>
      <w:r w:rsidRPr="00AB5682">
        <w:rPr>
          <w:noProof/>
          <w:webHidden/>
        </w:rPr>
        <w:instrText xml:space="preserve"> PAGEREF _Toc7789717 \h </w:instrText>
      </w:r>
      <w:r w:rsidRPr="00D56987">
        <w:rPr>
          <w:noProof/>
          <w:webHidden/>
        </w:rPr>
      </w:r>
      <w:r w:rsidRPr="00D56987">
        <w:rPr>
          <w:noProof/>
          <w:webHidden/>
        </w:rPr>
        <w:fldChar w:fldCharType="separate"/>
      </w:r>
      <w:r w:rsidRPr="00AB5682">
        <w:rPr>
          <w:noProof/>
          <w:webHidden/>
        </w:rPr>
        <w:t>11</w:t>
      </w:r>
      <w:r w:rsidRPr="00D56987">
        <w:rPr>
          <w:noProof/>
          <w:webHidden/>
        </w:rPr>
        <w:fldChar w:fldCharType="end"/>
      </w:r>
    </w:p>
    <w:p w14:paraId="60F99D1B" w14:textId="77777777" w:rsidR="00AB5682" w:rsidRPr="00AB5682" w:rsidRDefault="00AB5682">
      <w:pPr>
        <w:pStyle w:val="TOC2"/>
        <w:tabs>
          <w:tab w:val="left" w:pos="1134"/>
        </w:tabs>
        <w:rPr>
          <w:rFonts w:eastAsiaTheme="minorEastAsia"/>
          <w:noProof/>
          <w:kern w:val="0"/>
          <w:sz w:val="22"/>
          <w:szCs w:val="22"/>
          <w:lang w:eastAsia="en-GB"/>
        </w:rPr>
      </w:pPr>
      <w:r w:rsidRPr="00D56987">
        <w:rPr>
          <w:rFonts w:eastAsia="Times New Roman" w:cs="Arial"/>
          <w:bCs/>
          <w:noProof/>
        </w:rPr>
        <w:t>4.1</w:t>
      </w:r>
      <w:r w:rsidRPr="00AB5682">
        <w:rPr>
          <w:rFonts w:eastAsiaTheme="minorEastAsia"/>
          <w:noProof/>
          <w:kern w:val="0"/>
          <w:sz w:val="22"/>
          <w:szCs w:val="22"/>
          <w:lang w:eastAsia="en-GB"/>
        </w:rPr>
        <w:tab/>
      </w:r>
      <w:r w:rsidRPr="00D56987">
        <w:rPr>
          <w:rFonts w:eastAsia="Times New Roman" w:cs="Arial"/>
          <w:bCs/>
          <w:noProof/>
        </w:rPr>
        <w:t>Standard method (Step 1)</w:t>
      </w:r>
      <w:r w:rsidRPr="00AB5682">
        <w:rPr>
          <w:noProof/>
          <w:webHidden/>
        </w:rPr>
        <w:tab/>
      </w:r>
      <w:r w:rsidRPr="00D56987">
        <w:rPr>
          <w:noProof/>
          <w:webHidden/>
        </w:rPr>
        <w:fldChar w:fldCharType="begin"/>
      </w:r>
      <w:r w:rsidRPr="00AB5682">
        <w:rPr>
          <w:noProof/>
          <w:webHidden/>
        </w:rPr>
        <w:instrText xml:space="preserve"> PAGEREF _Toc7789718 \h </w:instrText>
      </w:r>
      <w:r w:rsidRPr="00D56987">
        <w:rPr>
          <w:noProof/>
          <w:webHidden/>
        </w:rPr>
      </w:r>
      <w:r w:rsidRPr="00D56987">
        <w:rPr>
          <w:noProof/>
          <w:webHidden/>
        </w:rPr>
        <w:fldChar w:fldCharType="separate"/>
      </w:r>
      <w:r w:rsidRPr="00AB5682">
        <w:rPr>
          <w:noProof/>
          <w:webHidden/>
        </w:rPr>
        <w:t>12</w:t>
      </w:r>
      <w:r w:rsidRPr="00D56987">
        <w:rPr>
          <w:noProof/>
          <w:webHidden/>
        </w:rPr>
        <w:fldChar w:fldCharType="end"/>
      </w:r>
    </w:p>
    <w:p w14:paraId="630CF59D" w14:textId="77777777" w:rsidR="00AB5682" w:rsidRPr="00AB5682" w:rsidRDefault="00AB5682">
      <w:pPr>
        <w:pStyle w:val="TOC2"/>
        <w:tabs>
          <w:tab w:val="left" w:pos="1134"/>
        </w:tabs>
        <w:rPr>
          <w:rFonts w:eastAsiaTheme="minorEastAsia"/>
          <w:noProof/>
          <w:kern w:val="0"/>
          <w:sz w:val="22"/>
          <w:szCs w:val="22"/>
          <w:lang w:eastAsia="en-GB"/>
        </w:rPr>
      </w:pPr>
      <w:r w:rsidRPr="00D56987">
        <w:rPr>
          <w:rFonts w:eastAsia="Times New Roman" w:cs="Arial"/>
          <w:bCs/>
          <w:noProof/>
        </w:rPr>
        <w:t>4.2</w:t>
      </w:r>
      <w:r w:rsidRPr="00AB5682">
        <w:rPr>
          <w:rFonts w:eastAsiaTheme="minorEastAsia"/>
          <w:noProof/>
          <w:kern w:val="0"/>
          <w:sz w:val="22"/>
          <w:szCs w:val="22"/>
          <w:lang w:eastAsia="en-GB"/>
        </w:rPr>
        <w:tab/>
      </w:r>
      <w:r w:rsidRPr="00D56987">
        <w:rPr>
          <w:rFonts w:eastAsia="Times New Roman" w:cs="Arial"/>
          <w:bCs/>
          <w:noProof/>
        </w:rPr>
        <w:t>Latest LA planning strategy (Step 2)</w:t>
      </w:r>
      <w:r w:rsidRPr="00AB5682">
        <w:rPr>
          <w:noProof/>
          <w:webHidden/>
        </w:rPr>
        <w:tab/>
      </w:r>
      <w:r w:rsidRPr="00D56987">
        <w:rPr>
          <w:noProof/>
          <w:webHidden/>
        </w:rPr>
        <w:fldChar w:fldCharType="begin"/>
      </w:r>
      <w:r w:rsidRPr="00AB5682">
        <w:rPr>
          <w:noProof/>
          <w:webHidden/>
        </w:rPr>
        <w:instrText xml:space="preserve"> PAGEREF _Toc7789719 \h </w:instrText>
      </w:r>
      <w:r w:rsidRPr="00D56987">
        <w:rPr>
          <w:noProof/>
          <w:webHidden/>
        </w:rPr>
      </w:r>
      <w:r w:rsidRPr="00D56987">
        <w:rPr>
          <w:noProof/>
          <w:webHidden/>
        </w:rPr>
        <w:fldChar w:fldCharType="separate"/>
      </w:r>
      <w:r w:rsidRPr="00AB5682">
        <w:rPr>
          <w:noProof/>
          <w:webHidden/>
        </w:rPr>
        <w:t>13</w:t>
      </w:r>
      <w:r w:rsidRPr="00D56987">
        <w:rPr>
          <w:noProof/>
          <w:webHidden/>
        </w:rPr>
        <w:fldChar w:fldCharType="end"/>
      </w:r>
    </w:p>
    <w:p w14:paraId="03377BF4"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4.3</w:t>
      </w:r>
      <w:r w:rsidRPr="00AB5682">
        <w:rPr>
          <w:rFonts w:eastAsiaTheme="minorEastAsia"/>
          <w:noProof/>
          <w:kern w:val="0"/>
          <w:sz w:val="22"/>
          <w:szCs w:val="22"/>
          <w:lang w:eastAsia="en-GB"/>
        </w:rPr>
        <w:tab/>
      </w:r>
      <w:r w:rsidRPr="00AB5682">
        <w:rPr>
          <w:noProof/>
        </w:rPr>
        <w:t>Past dwelling completions and commitments (Step 3)</w:t>
      </w:r>
      <w:r w:rsidRPr="00AB5682">
        <w:rPr>
          <w:noProof/>
          <w:webHidden/>
        </w:rPr>
        <w:tab/>
      </w:r>
      <w:r w:rsidRPr="00D56987">
        <w:rPr>
          <w:noProof/>
          <w:webHidden/>
        </w:rPr>
        <w:fldChar w:fldCharType="begin"/>
      </w:r>
      <w:r w:rsidRPr="00AB5682">
        <w:rPr>
          <w:noProof/>
          <w:webHidden/>
        </w:rPr>
        <w:instrText xml:space="preserve"> PAGEREF _Toc7789742 \h </w:instrText>
      </w:r>
      <w:r w:rsidRPr="00D56987">
        <w:rPr>
          <w:noProof/>
          <w:webHidden/>
        </w:rPr>
      </w:r>
      <w:r w:rsidRPr="00D56987">
        <w:rPr>
          <w:noProof/>
          <w:webHidden/>
        </w:rPr>
        <w:fldChar w:fldCharType="separate"/>
      </w:r>
      <w:r w:rsidRPr="00AB5682">
        <w:rPr>
          <w:noProof/>
          <w:webHidden/>
        </w:rPr>
        <w:t>14</w:t>
      </w:r>
      <w:r w:rsidRPr="00D56987">
        <w:rPr>
          <w:noProof/>
          <w:webHidden/>
        </w:rPr>
        <w:fldChar w:fldCharType="end"/>
      </w:r>
    </w:p>
    <w:p w14:paraId="029AF30C"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4.4</w:t>
      </w:r>
      <w:r w:rsidRPr="00AB5682">
        <w:rPr>
          <w:rFonts w:eastAsiaTheme="minorEastAsia"/>
          <w:noProof/>
          <w:kern w:val="0"/>
          <w:sz w:val="22"/>
          <w:szCs w:val="22"/>
          <w:lang w:eastAsia="en-GB"/>
        </w:rPr>
        <w:tab/>
      </w:r>
      <w:r w:rsidRPr="00AB5682">
        <w:rPr>
          <w:noProof/>
        </w:rPr>
        <w:t>Final Housing Need Figure</w:t>
      </w:r>
      <w:r w:rsidRPr="00AB5682">
        <w:rPr>
          <w:noProof/>
          <w:webHidden/>
        </w:rPr>
        <w:tab/>
      </w:r>
      <w:r w:rsidRPr="00D56987">
        <w:rPr>
          <w:noProof/>
          <w:webHidden/>
        </w:rPr>
        <w:fldChar w:fldCharType="begin"/>
      </w:r>
      <w:r w:rsidRPr="00AB5682">
        <w:rPr>
          <w:noProof/>
          <w:webHidden/>
        </w:rPr>
        <w:instrText xml:space="preserve"> PAGEREF _Toc7789743 \h </w:instrText>
      </w:r>
      <w:r w:rsidRPr="00D56987">
        <w:rPr>
          <w:noProof/>
          <w:webHidden/>
        </w:rPr>
      </w:r>
      <w:r w:rsidRPr="00D56987">
        <w:rPr>
          <w:noProof/>
          <w:webHidden/>
        </w:rPr>
        <w:fldChar w:fldCharType="separate"/>
      </w:r>
      <w:r w:rsidRPr="00AB5682">
        <w:rPr>
          <w:noProof/>
          <w:webHidden/>
        </w:rPr>
        <w:t>14</w:t>
      </w:r>
      <w:r w:rsidRPr="00D56987">
        <w:rPr>
          <w:noProof/>
          <w:webHidden/>
        </w:rPr>
        <w:fldChar w:fldCharType="end"/>
      </w:r>
    </w:p>
    <w:p w14:paraId="0D6AB7B5" w14:textId="77777777" w:rsidR="00AB5682" w:rsidRPr="00AB5682" w:rsidRDefault="00AB5682">
      <w:pPr>
        <w:pStyle w:val="TOC1"/>
        <w:rPr>
          <w:rFonts w:asciiTheme="minorHAnsi" w:eastAsiaTheme="minorEastAsia" w:hAnsiTheme="minorHAnsi"/>
          <w:noProof/>
          <w:kern w:val="0"/>
          <w:sz w:val="22"/>
          <w:szCs w:val="22"/>
          <w:lang w:eastAsia="en-GB"/>
        </w:rPr>
      </w:pPr>
      <w:r w:rsidRPr="00AB5682">
        <w:rPr>
          <w:noProof/>
        </w:rPr>
        <w:t>5.</w:t>
      </w:r>
      <w:r w:rsidRPr="00AB5682">
        <w:rPr>
          <w:rFonts w:asciiTheme="minorHAnsi" w:eastAsiaTheme="minorEastAsia" w:hAnsiTheme="minorHAnsi"/>
          <w:noProof/>
          <w:kern w:val="0"/>
          <w:sz w:val="22"/>
          <w:szCs w:val="22"/>
          <w:lang w:eastAsia="en-GB"/>
        </w:rPr>
        <w:tab/>
      </w:r>
      <w:r w:rsidRPr="00AB5682">
        <w:rPr>
          <w:noProof/>
        </w:rPr>
        <w:t>RQ 2 Type and size</w:t>
      </w:r>
      <w:r w:rsidRPr="00AB5682">
        <w:rPr>
          <w:noProof/>
          <w:webHidden/>
        </w:rPr>
        <w:tab/>
      </w:r>
      <w:r w:rsidRPr="00D56987">
        <w:rPr>
          <w:noProof/>
          <w:webHidden/>
        </w:rPr>
        <w:fldChar w:fldCharType="begin"/>
      </w:r>
      <w:r w:rsidRPr="00AB5682">
        <w:rPr>
          <w:noProof/>
          <w:webHidden/>
        </w:rPr>
        <w:instrText xml:space="preserve"> PAGEREF _Toc7789744 \h </w:instrText>
      </w:r>
      <w:r w:rsidRPr="00D56987">
        <w:rPr>
          <w:noProof/>
          <w:webHidden/>
        </w:rPr>
      </w:r>
      <w:r w:rsidRPr="00D56987">
        <w:rPr>
          <w:noProof/>
          <w:webHidden/>
        </w:rPr>
        <w:fldChar w:fldCharType="separate"/>
      </w:r>
      <w:r w:rsidRPr="00AB5682">
        <w:rPr>
          <w:noProof/>
          <w:webHidden/>
        </w:rPr>
        <w:t>15</w:t>
      </w:r>
      <w:r w:rsidRPr="00D56987">
        <w:rPr>
          <w:noProof/>
          <w:webHidden/>
        </w:rPr>
        <w:fldChar w:fldCharType="end"/>
      </w:r>
    </w:p>
    <w:p w14:paraId="52164289"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5.1</w:t>
      </w:r>
      <w:r w:rsidRPr="00AB5682">
        <w:rPr>
          <w:rFonts w:eastAsiaTheme="minorEastAsia"/>
          <w:noProof/>
          <w:kern w:val="0"/>
          <w:sz w:val="22"/>
          <w:szCs w:val="22"/>
          <w:lang w:eastAsia="en-GB"/>
        </w:rPr>
        <w:tab/>
      </w:r>
      <w:r w:rsidRPr="00AB5682">
        <w:rPr>
          <w:noProof/>
        </w:rPr>
        <w:t>Introduction</w:t>
      </w:r>
      <w:r w:rsidRPr="00AB5682">
        <w:rPr>
          <w:noProof/>
          <w:webHidden/>
        </w:rPr>
        <w:tab/>
      </w:r>
      <w:r w:rsidRPr="00D56987">
        <w:rPr>
          <w:noProof/>
          <w:webHidden/>
        </w:rPr>
        <w:fldChar w:fldCharType="begin"/>
      </w:r>
      <w:r w:rsidRPr="00AB5682">
        <w:rPr>
          <w:noProof/>
          <w:webHidden/>
        </w:rPr>
        <w:instrText xml:space="preserve"> PAGEREF _Toc7789745 \h </w:instrText>
      </w:r>
      <w:r w:rsidRPr="00D56987">
        <w:rPr>
          <w:noProof/>
          <w:webHidden/>
        </w:rPr>
      </w:r>
      <w:r w:rsidRPr="00D56987">
        <w:rPr>
          <w:noProof/>
          <w:webHidden/>
        </w:rPr>
        <w:fldChar w:fldCharType="separate"/>
      </w:r>
      <w:r w:rsidRPr="00AB5682">
        <w:rPr>
          <w:noProof/>
          <w:webHidden/>
        </w:rPr>
        <w:t>15</w:t>
      </w:r>
      <w:r w:rsidRPr="00D56987">
        <w:rPr>
          <w:noProof/>
          <w:webHidden/>
        </w:rPr>
        <w:fldChar w:fldCharType="end"/>
      </w:r>
    </w:p>
    <w:p w14:paraId="3B03654B"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5.2</w:t>
      </w:r>
      <w:r w:rsidRPr="00AB5682">
        <w:rPr>
          <w:rFonts w:eastAsiaTheme="minorEastAsia"/>
          <w:noProof/>
          <w:kern w:val="0"/>
          <w:sz w:val="22"/>
          <w:szCs w:val="22"/>
          <w:lang w:eastAsia="en-GB"/>
        </w:rPr>
        <w:tab/>
      </w:r>
      <w:r w:rsidRPr="00AB5682">
        <w:rPr>
          <w:noProof/>
        </w:rPr>
        <w:t>Background and definitions</w:t>
      </w:r>
      <w:r w:rsidRPr="00AB5682">
        <w:rPr>
          <w:noProof/>
          <w:webHidden/>
        </w:rPr>
        <w:tab/>
      </w:r>
      <w:r w:rsidRPr="00D56987">
        <w:rPr>
          <w:noProof/>
          <w:webHidden/>
        </w:rPr>
        <w:fldChar w:fldCharType="begin"/>
      </w:r>
      <w:r w:rsidRPr="00AB5682">
        <w:rPr>
          <w:noProof/>
          <w:webHidden/>
        </w:rPr>
        <w:instrText xml:space="preserve"> PAGEREF _Toc7789746 \h </w:instrText>
      </w:r>
      <w:r w:rsidRPr="00D56987">
        <w:rPr>
          <w:noProof/>
          <w:webHidden/>
        </w:rPr>
      </w:r>
      <w:r w:rsidRPr="00D56987">
        <w:rPr>
          <w:noProof/>
          <w:webHidden/>
        </w:rPr>
        <w:fldChar w:fldCharType="separate"/>
      </w:r>
      <w:r w:rsidRPr="00AB5682">
        <w:rPr>
          <w:noProof/>
          <w:webHidden/>
        </w:rPr>
        <w:t>15</w:t>
      </w:r>
      <w:r w:rsidRPr="00D56987">
        <w:rPr>
          <w:noProof/>
          <w:webHidden/>
        </w:rPr>
        <w:fldChar w:fldCharType="end"/>
      </w:r>
    </w:p>
    <w:p w14:paraId="0C51C89D"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5.3</w:t>
      </w:r>
      <w:r w:rsidRPr="00AB5682">
        <w:rPr>
          <w:rFonts w:eastAsiaTheme="minorEastAsia"/>
          <w:noProof/>
          <w:kern w:val="0"/>
          <w:sz w:val="22"/>
          <w:szCs w:val="22"/>
          <w:lang w:eastAsia="en-GB"/>
        </w:rPr>
        <w:tab/>
      </w:r>
      <w:r w:rsidRPr="00AB5682">
        <w:rPr>
          <w:noProof/>
        </w:rPr>
        <w:t>Existing types and sizes</w:t>
      </w:r>
      <w:r w:rsidRPr="00AB5682">
        <w:rPr>
          <w:noProof/>
          <w:webHidden/>
        </w:rPr>
        <w:tab/>
      </w:r>
      <w:r w:rsidRPr="00D56987">
        <w:rPr>
          <w:noProof/>
          <w:webHidden/>
        </w:rPr>
        <w:fldChar w:fldCharType="begin"/>
      </w:r>
      <w:r w:rsidRPr="00AB5682">
        <w:rPr>
          <w:noProof/>
          <w:webHidden/>
        </w:rPr>
        <w:instrText xml:space="preserve"> PAGEREF _Toc7789747 \h </w:instrText>
      </w:r>
      <w:r w:rsidRPr="00D56987">
        <w:rPr>
          <w:noProof/>
          <w:webHidden/>
        </w:rPr>
      </w:r>
      <w:r w:rsidRPr="00D56987">
        <w:rPr>
          <w:noProof/>
          <w:webHidden/>
        </w:rPr>
        <w:fldChar w:fldCharType="separate"/>
      </w:r>
      <w:r w:rsidRPr="00AB5682">
        <w:rPr>
          <w:noProof/>
          <w:webHidden/>
        </w:rPr>
        <w:t>16</w:t>
      </w:r>
      <w:r w:rsidRPr="00D56987">
        <w:rPr>
          <w:noProof/>
          <w:webHidden/>
        </w:rPr>
        <w:fldChar w:fldCharType="end"/>
      </w:r>
    </w:p>
    <w:p w14:paraId="3889E4C2"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5.3.1</w:t>
      </w:r>
      <w:r w:rsidRPr="00AB5682">
        <w:rPr>
          <w:rFonts w:eastAsiaTheme="minorEastAsia"/>
          <w:noProof/>
          <w:kern w:val="0"/>
          <w:sz w:val="22"/>
          <w:szCs w:val="22"/>
          <w:lang w:eastAsia="en-GB"/>
        </w:rPr>
        <w:tab/>
      </w:r>
      <w:r w:rsidRPr="00AB5682">
        <w:rPr>
          <w:noProof/>
        </w:rPr>
        <w:t>Data from SHMA Part 2 and its partial update</w:t>
      </w:r>
      <w:r w:rsidRPr="00AB5682">
        <w:rPr>
          <w:noProof/>
          <w:webHidden/>
        </w:rPr>
        <w:tab/>
      </w:r>
      <w:r w:rsidRPr="00D56987">
        <w:rPr>
          <w:noProof/>
          <w:webHidden/>
        </w:rPr>
        <w:fldChar w:fldCharType="begin"/>
      </w:r>
      <w:r w:rsidRPr="00AB5682">
        <w:rPr>
          <w:noProof/>
          <w:webHidden/>
        </w:rPr>
        <w:instrText xml:space="preserve"> PAGEREF _Toc7789748 \h </w:instrText>
      </w:r>
      <w:r w:rsidRPr="00D56987">
        <w:rPr>
          <w:noProof/>
          <w:webHidden/>
        </w:rPr>
      </w:r>
      <w:r w:rsidRPr="00D56987">
        <w:rPr>
          <w:noProof/>
          <w:webHidden/>
        </w:rPr>
        <w:fldChar w:fldCharType="separate"/>
      </w:r>
      <w:r w:rsidRPr="00AB5682">
        <w:rPr>
          <w:noProof/>
          <w:webHidden/>
        </w:rPr>
        <w:t>16</w:t>
      </w:r>
      <w:r w:rsidRPr="00D56987">
        <w:rPr>
          <w:noProof/>
          <w:webHidden/>
        </w:rPr>
        <w:fldChar w:fldCharType="end"/>
      </w:r>
    </w:p>
    <w:p w14:paraId="1D19C962"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5.3.2</w:t>
      </w:r>
      <w:r w:rsidRPr="00AB5682">
        <w:rPr>
          <w:rFonts w:eastAsiaTheme="minorEastAsia"/>
          <w:noProof/>
          <w:kern w:val="0"/>
          <w:sz w:val="22"/>
          <w:szCs w:val="22"/>
          <w:lang w:eastAsia="en-GB"/>
        </w:rPr>
        <w:tab/>
      </w:r>
      <w:r w:rsidRPr="00AB5682">
        <w:rPr>
          <w:noProof/>
        </w:rPr>
        <w:t>Data from Census- Type</w:t>
      </w:r>
      <w:r w:rsidRPr="00AB5682">
        <w:rPr>
          <w:noProof/>
          <w:webHidden/>
        </w:rPr>
        <w:tab/>
      </w:r>
      <w:r w:rsidRPr="00D56987">
        <w:rPr>
          <w:noProof/>
          <w:webHidden/>
        </w:rPr>
        <w:fldChar w:fldCharType="begin"/>
      </w:r>
      <w:r w:rsidRPr="00AB5682">
        <w:rPr>
          <w:noProof/>
          <w:webHidden/>
        </w:rPr>
        <w:instrText xml:space="preserve"> PAGEREF _Toc7789750 \h </w:instrText>
      </w:r>
      <w:r w:rsidRPr="00D56987">
        <w:rPr>
          <w:noProof/>
          <w:webHidden/>
        </w:rPr>
      </w:r>
      <w:r w:rsidRPr="00D56987">
        <w:rPr>
          <w:noProof/>
          <w:webHidden/>
        </w:rPr>
        <w:fldChar w:fldCharType="separate"/>
      </w:r>
      <w:r w:rsidRPr="00AB5682">
        <w:rPr>
          <w:noProof/>
          <w:webHidden/>
        </w:rPr>
        <w:t>16</w:t>
      </w:r>
      <w:r w:rsidRPr="00D56987">
        <w:rPr>
          <w:noProof/>
          <w:webHidden/>
        </w:rPr>
        <w:fldChar w:fldCharType="end"/>
      </w:r>
    </w:p>
    <w:p w14:paraId="014F8574"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5.3.3</w:t>
      </w:r>
      <w:r w:rsidRPr="00AB5682">
        <w:rPr>
          <w:rFonts w:eastAsiaTheme="minorEastAsia"/>
          <w:noProof/>
          <w:kern w:val="0"/>
          <w:sz w:val="22"/>
          <w:szCs w:val="22"/>
          <w:lang w:eastAsia="en-GB"/>
        </w:rPr>
        <w:tab/>
      </w:r>
      <w:r w:rsidRPr="00AB5682">
        <w:rPr>
          <w:noProof/>
        </w:rPr>
        <w:t>Data from Census- Size</w:t>
      </w:r>
      <w:r w:rsidRPr="00AB5682">
        <w:rPr>
          <w:noProof/>
          <w:webHidden/>
        </w:rPr>
        <w:tab/>
      </w:r>
      <w:r w:rsidRPr="00D56987">
        <w:rPr>
          <w:noProof/>
          <w:webHidden/>
        </w:rPr>
        <w:fldChar w:fldCharType="begin"/>
      </w:r>
      <w:r w:rsidRPr="00AB5682">
        <w:rPr>
          <w:noProof/>
          <w:webHidden/>
        </w:rPr>
        <w:instrText xml:space="preserve"> PAGEREF _Toc7789751 \h </w:instrText>
      </w:r>
      <w:r w:rsidRPr="00D56987">
        <w:rPr>
          <w:noProof/>
          <w:webHidden/>
        </w:rPr>
      </w:r>
      <w:r w:rsidRPr="00D56987">
        <w:rPr>
          <w:noProof/>
          <w:webHidden/>
        </w:rPr>
        <w:fldChar w:fldCharType="separate"/>
      </w:r>
      <w:r w:rsidRPr="00AB5682">
        <w:rPr>
          <w:noProof/>
          <w:webHidden/>
        </w:rPr>
        <w:t>16</w:t>
      </w:r>
      <w:r w:rsidRPr="00D56987">
        <w:rPr>
          <w:noProof/>
          <w:webHidden/>
        </w:rPr>
        <w:fldChar w:fldCharType="end"/>
      </w:r>
    </w:p>
    <w:p w14:paraId="62BF663D"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5.4</w:t>
      </w:r>
      <w:r w:rsidRPr="00AB5682">
        <w:rPr>
          <w:rFonts w:eastAsiaTheme="minorEastAsia"/>
          <w:noProof/>
          <w:kern w:val="0"/>
          <w:sz w:val="22"/>
          <w:szCs w:val="22"/>
          <w:lang w:eastAsia="en-GB"/>
        </w:rPr>
        <w:tab/>
      </w:r>
      <w:r w:rsidRPr="00AB5682">
        <w:rPr>
          <w:noProof/>
        </w:rPr>
        <w:t>Household composition and age structure</w:t>
      </w:r>
      <w:r w:rsidRPr="00AB5682">
        <w:rPr>
          <w:noProof/>
          <w:webHidden/>
        </w:rPr>
        <w:tab/>
      </w:r>
      <w:r w:rsidRPr="00D56987">
        <w:rPr>
          <w:noProof/>
          <w:webHidden/>
        </w:rPr>
        <w:fldChar w:fldCharType="begin"/>
      </w:r>
      <w:r w:rsidRPr="00AB5682">
        <w:rPr>
          <w:noProof/>
          <w:webHidden/>
        </w:rPr>
        <w:instrText xml:space="preserve"> PAGEREF _Toc7789753 \h </w:instrText>
      </w:r>
      <w:r w:rsidRPr="00D56987">
        <w:rPr>
          <w:noProof/>
          <w:webHidden/>
        </w:rPr>
      </w:r>
      <w:r w:rsidRPr="00D56987">
        <w:rPr>
          <w:noProof/>
          <w:webHidden/>
        </w:rPr>
        <w:fldChar w:fldCharType="separate"/>
      </w:r>
      <w:r w:rsidRPr="00AB5682">
        <w:rPr>
          <w:noProof/>
          <w:webHidden/>
        </w:rPr>
        <w:t>18</w:t>
      </w:r>
      <w:r w:rsidRPr="00D56987">
        <w:rPr>
          <w:noProof/>
          <w:webHidden/>
        </w:rPr>
        <w:fldChar w:fldCharType="end"/>
      </w:r>
    </w:p>
    <w:p w14:paraId="63C22DB7"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5.4.1</w:t>
      </w:r>
      <w:r w:rsidRPr="00AB5682">
        <w:rPr>
          <w:rFonts w:eastAsiaTheme="minorEastAsia"/>
          <w:noProof/>
          <w:kern w:val="0"/>
          <w:sz w:val="22"/>
          <w:szCs w:val="22"/>
          <w:lang w:eastAsia="en-GB"/>
        </w:rPr>
        <w:tab/>
      </w:r>
      <w:r w:rsidRPr="00AB5682">
        <w:rPr>
          <w:noProof/>
        </w:rPr>
        <w:t>Current Household Composition</w:t>
      </w:r>
      <w:r w:rsidRPr="00AB5682">
        <w:rPr>
          <w:noProof/>
          <w:webHidden/>
        </w:rPr>
        <w:tab/>
      </w:r>
      <w:r w:rsidRPr="00D56987">
        <w:rPr>
          <w:noProof/>
          <w:webHidden/>
        </w:rPr>
        <w:fldChar w:fldCharType="begin"/>
      </w:r>
      <w:r w:rsidRPr="00AB5682">
        <w:rPr>
          <w:noProof/>
          <w:webHidden/>
        </w:rPr>
        <w:instrText xml:space="preserve"> PAGEREF _Toc7789754 \h </w:instrText>
      </w:r>
      <w:r w:rsidRPr="00D56987">
        <w:rPr>
          <w:noProof/>
          <w:webHidden/>
        </w:rPr>
      </w:r>
      <w:r w:rsidRPr="00D56987">
        <w:rPr>
          <w:noProof/>
          <w:webHidden/>
        </w:rPr>
        <w:fldChar w:fldCharType="separate"/>
      </w:r>
      <w:r w:rsidRPr="00AB5682">
        <w:rPr>
          <w:noProof/>
          <w:webHidden/>
        </w:rPr>
        <w:t>18</w:t>
      </w:r>
      <w:r w:rsidRPr="00D56987">
        <w:rPr>
          <w:noProof/>
          <w:webHidden/>
        </w:rPr>
        <w:fldChar w:fldCharType="end"/>
      </w:r>
    </w:p>
    <w:p w14:paraId="2B60BEF1" w14:textId="77777777" w:rsidR="00AB5682" w:rsidRPr="00AB5682" w:rsidRDefault="00AB5682">
      <w:pPr>
        <w:pStyle w:val="TOC3"/>
        <w:tabs>
          <w:tab w:val="left" w:pos="1260"/>
        </w:tabs>
        <w:rPr>
          <w:rFonts w:eastAsiaTheme="minorEastAsia"/>
          <w:noProof/>
          <w:kern w:val="0"/>
          <w:sz w:val="22"/>
          <w:szCs w:val="22"/>
          <w:lang w:eastAsia="en-GB"/>
        </w:rPr>
      </w:pPr>
      <w:r w:rsidRPr="00AB5682">
        <w:rPr>
          <w:noProof/>
        </w:rPr>
        <w:t>5.4.2</w:t>
      </w:r>
      <w:r w:rsidRPr="00AB5682">
        <w:rPr>
          <w:rFonts w:eastAsiaTheme="minorEastAsia"/>
          <w:noProof/>
          <w:kern w:val="0"/>
          <w:sz w:val="22"/>
          <w:szCs w:val="22"/>
          <w:lang w:eastAsia="en-GB"/>
        </w:rPr>
        <w:tab/>
      </w:r>
      <w:r w:rsidRPr="00AB5682">
        <w:rPr>
          <w:noProof/>
        </w:rPr>
        <w:t>Future household composition and age mix</w:t>
      </w:r>
      <w:r w:rsidRPr="00AB5682">
        <w:rPr>
          <w:noProof/>
          <w:webHidden/>
        </w:rPr>
        <w:tab/>
      </w:r>
      <w:r w:rsidRPr="00D56987">
        <w:rPr>
          <w:noProof/>
          <w:webHidden/>
        </w:rPr>
        <w:fldChar w:fldCharType="begin"/>
      </w:r>
      <w:r w:rsidRPr="00AB5682">
        <w:rPr>
          <w:noProof/>
          <w:webHidden/>
        </w:rPr>
        <w:instrText xml:space="preserve"> PAGEREF _Toc7789755 \h </w:instrText>
      </w:r>
      <w:r w:rsidRPr="00D56987">
        <w:rPr>
          <w:noProof/>
          <w:webHidden/>
        </w:rPr>
      </w:r>
      <w:r w:rsidRPr="00D56987">
        <w:rPr>
          <w:noProof/>
          <w:webHidden/>
        </w:rPr>
        <w:fldChar w:fldCharType="separate"/>
      </w:r>
      <w:r w:rsidRPr="00AB5682">
        <w:rPr>
          <w:noProof/>
          <w:webHidden/>
        </w:rPr>
        <w:t>19</w:t>
      </w:r>
      <w:r w:rsidRPr="00D56987">
        <w:rPr>
          <w:noProof/>
          <w:webHidden/>
        </w:rPr>
        <w:fldChar w:fldCharType="end"/>
      </w:r>
    </w:p>
    <w:p w14:paraId="3989E7E3"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5.5</w:t>
      </w:r>
      <w:r w:rsidRPr="00AB5682">
        <w:rPr>
          <w:rFonts w:eastAsiaTheme="minorEastAsia"/>
          <w:noProof/>
          <w:kern w:val="0"/>
          <w:sz w:val="22"/>
          <w:szCs w:val="22"/>
          <w:lang w:eastAsia="en-GB"/>
        </w:rPr>
        <w:tab/>
      </w:r>
      <w:r w:rsidRPr="00AB5682">
        <w:rPr>
          <w:noProof/>
        </w:rPr>
        <w:t>Dwelling mix determined by life-stage modelling</w:t>
      </w:r>
      <w:r w:rsidRPr="00AB5682">
        <w:rPr>
          <w:noProof/>
          <w:webHidden/>
        </w:rPr>
        <w:tab/>
      </w:r>
      <w:r w:rsidRPr="00D56987">
        <w:rPr>
          <w:noProof/>
          <w:webHidden/>
        </w:rPr>
        <w:fldChar w:fldCharType="begin"/>
      </w:r>
      <w:r w:rsidRPr="00AB5682">
        <w:rPr>
          <w:noProof/>
          <w:webHidden/>
        </w:rPr>
        <w:instrText xml:space="preserve"> PAGEREF _Toc7789756 \h </w:instrText>
      </w:r>
      <w:r w:rsidRPr="00D56987">
        <w:rPr>
          <w:noProof/>
          <w:webHidden/>
        </w:rPr>
      </w:r>
      <w:r w:rsidRPr="00D56987">
        <w:rPr>
          <w:noProof/>
          <w:webHidden/>
        </w:rPr>
        <w:fldChar w:fldCharType="separate"/>
      </w:r>
      <w:r w:rsidRPr="00AB5682">
        <w:rPr>
          <w:noProof/>
          <w:webHidden/>
        </w:rPr>
        <w:t>20</w:t>
      </w:r>
      <w:r w:rsidRPr="00D56987">
        <w:rPr>
          <w:noProof/>
          <w:webHidden/>
        </w:rPr>
        <w:fldChar w:fldCharType="end"/>
      </w:r>
    </w:p>
    <w:p w14:paraId="7A91BC1D"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5.6</w:t>
      </w:r>
      <w:r w:rsidRPr="00AB5682">
        <w:rPr>
          <w:rFonts w:eastAsiaTheme="minorEastAsia"/>
          <w:noProof/>
          <w:kern w:val="0"/>
          <w:sz w:val="22"/>
          <w:szCs w:val="22"/>
          <w:lang w:eastAsia="en-GB"/>
        </w:rPr>
        <w:tab/>
      </w:r>
      <w:r w:rsidRPr="00AB5682">
        <w:rPr>
          <w:noProof/>
        </w:rPr>
        <w:t>Conclusion- type and size</w:t>
      </w:r>
      <w:r w:rsidRPr="00AB5682">
        <w:rPr>
          <w:noProof/>
          <w:webHidden/>
        </w:rPr>
        <w:tab/>
      </w:r>
      <w:r w:rsidRPr="00D56987">
        <w:rPr>
          <w:noProof/>
          <w:webHidden/>
        </w:rPr>
        <w:fldChar w:fldCharType="begin"/>
      </w:r>
      <w:r w:rsidRPr="00AB5682">
        <w:rPr>
          <w:noProof/>
          <w:webHidden/>
        </w:rPr>
        <w:instrText xml:space="preserve"> PAGEREF _Toc7789757 \h </w:instrText>
      </w:r>
      <w:r w:rsidRPr="00D56987">
        <w:rPr>
          <w:noProof/>
          <w:webHidden/>
        </w:rPr>
      </w:r>
      <w:r w:rsidRPr="00D56987">
        <w:rPr>
          <w:noProof/>
          <w:webHidden/>
        </w:rPr>
        <w:fldChar w:fldCharType="separate"/>
      </w:r>
      <w:r w:rsidRPr="00AB5682">
        <w:rPr>
          <w:noProof/>
          <w:webHidden/>
        </w:rPr>
        <w:t>22</w:t>
      </w:r>
      <w:r w:rsidRPr="00D56987">
        <w:rPr>
          <w:noProof/>
          <w:webHidden/>
        </w:rPr>
        <w:fldChar w:fldCharType="end"/>
      </w:r>
    </w:p>
    <w:p w14:paraId="43EA9DC5" w14:textId="77777777" w:rsidR="00AB5682" w:rsidRPr="00AB5682" w:rsidRDefault="00AB5682">
      <w:pPr>
        <w:pStyle w:val="TOC1"/>
        <w:rPr>
          <w:rFonts w:asciiTheme="minorHAnsi" w:eastAsiaTheme="minorEastAsia" w:hAnsiTheme="minorHAnsi"/>
          <w:noProof/>
          <w:kern w:val="0"/>
          <w:sz w:val="22"/>
          <w:szCs w:val="22"/>
          <w:lang w:eastAsia="en-GB"/>
        </w:rPr>
      </w:pPr>
      <w:r w:rsidRPr="00AB5682">
        <w:rPr>
          <w:noProof/>
          <w:lang w:val="en-US"/>
        </w:rPr>
        <w:t>6.</w:t>
      </w:r>
      <w:r w:rsidRPr="00AB5682">
        <w:rPr>
          <w:rFonts w:asciiTheme="minorHAnsi" w:eastAsiaTheme="minorEastAsia" w:hAnsiTheme="minorHAnsi"/>
          <w:noProof/>
          <w:kern w:val="0"/>
          <w:sz w:val="22"/>
          <w:szCs w:val="22"/>
          <w:lang w:eastAsia="en-GB"/>
        </w:rPr>
        <w:tab/>
      </w:r>
      <w:r w:rsidRPr="00AB5682">
        <w:rPr>
          <w:noProof/>
          <w:lang w:val="en-US"/>
        </w:rPr>
        <w:t>Conclusions</w:t>
      </w:r>
      <w:r w:rsidRPr="00AB5682">
        <w:rPr>
          <w:noProof/>
          <w:webHidden/>
        </w:rPr>
        <w:tab/>
      </w:r>
      <w:r w:rsidRPr="00D56987">
        <w:rPr>
          <w:noProof/>
          <w:webHidden/>
        </w:rPr>
        <w:fldChar w:fldCharType="begin"/>
      </w:r>
      <w:r w:rsidRPr="00AB5682">
        <w:rPr>
          <w:noProof/>
          <w:webHidden/>
        </w:rPr>
        <w:instrText xml:space="preserve"> PAGEREF _Toc7789758 \h </w:instrText>
      </w:r>
      <w:r w:rsidRPr="00D56987">
        <w:rPr>
          <w:noProof/>
          <w:webHidden/>
        </w:rPr>
      </w:r>
      <w:r w:rsidRPr="00D56987">
        <w:rPr>
          <w:noProof/>
          <w:webHidden/>
        </w:rPr>
        <w:fldChar w:fldCharType="separate"/>
      </w:r>
      <w:r w:rsidRPr="00AB5682">
        <w:rPr>
          <w:noProof/>
          <w:webHidden/>
        </w:rPr>
        <w:t>23</w:t>
      </w:r>
      <w:r w:rsidRPr="00D56987">
        <w:rPr>
          <w:noProof/>
          <w:webHidden/>
        </w:rPr>
        <w:fldChar w:fldCharType="end"/>
      </w:r>
    </w:p>
    <w:p w14:paraId="1AB3645D"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rPr>
        <w:t>6.1</w:t>
      </w:r>
      <w:r w:rsidRPr="00AB5682">
        <w:rPr>
          <w:rFonts w:eastAsiaTheme="minorEastAsia"/>
          <w:noProof/>
          <w:kern w:val="0"/>
          <w:sz w:val="22"/>
          <w:szCs w:val="22"/>
          <w:lang w:eastAsia="en-GB"/>
        </w:rPr>
        <w:tab/>
      </w:r>
      <w:r w:rsidRPr="00AB5682">
        <w:rPr>
          <w:noProof/>
        </w:rPr>
        <w:t>Findings and recommendations</w:t>
      </w:r>
      <w:r w:rsidRPr="00AB5682">
        <w:rPr>
          <w:noProof/>
          <w:webHidden/>
        </w:rPr>
        <w:tab/>
      </w:r>
      <w:r w:rsidRPr="00D56987">
        <w:rPr>
          <w:noProof/>
          <w:webHidden/>
        </w:rPr>
        <w:fldChar w:fldCharType="begin"/>
      </w:r>
      <w:r w:rsidRPr="00AB5682">
        <w:rPr>
          <w:noProof/>
          <w:webHidden/>
        </w:rPr>
        <w:instrText xml:space="preserve"> PAGEREF _Toc7789759 \h </w:instrText>
      </w:r>
      <w:r w:rsidRPr="00D56987">
        <w:rPr>
          <w:noProof/>
          <w:webHidden/>
        </w:rPr>
      </w:r>
      <w:r w:rsidRPr="00D56987">
        <w:rPr>
          <w:noProof/>
          <w:webHidden/>
        </w:rPr>
        <w:fldChar w:fldCharType="separate"/>
      </w:r>
      <w:r w:rsidRPr="00AB5682">
        <w:rPr>
          <w:noProof/>
          <w:webHidden/>
        </w:rPr>
        <w:t>23</w:t>
      </w:r>
      <w:r w:rsidRPr="00D56987">
        <w:rPr>
          <w:noProof/>
          <w:webHidden/>
        </w:rPr>
        <w:fldChar w:fldCharType="end"/>
      </w:r>
    </w:p>
    <w:p w14:paraId="6F1DF66F" w14:textId="77777777" w:rsidR="00AB5682" w:rsidRPr="00AB5682" w:rsidRDefault="00AB5682">
      <w:pPr>
        <w:pStyle w:val="TOC2"/>
        <w:tabs>
          <w:tab w:val="left" w:pos="1134"/>
        </w:tabs>
        <w:rPr>
          <w:rFonts w:eastAsiaTheme="minorEastAsia"/>
          <w:noProof/>
          <w:kern w:val="0"/>
          <w:sz w:val="22"/>
          <w:szCs w:val="22"/>
          <w:lang w:eastAsia="en-GB"/>
        </w:rPr>
      </w:pPr>
      <w:r w:rsidRPr="00AB5682">
        <w:rPr>
          <w:noProof/>
          <w:lang w:val="en-US"/>
        </w:rPr>
        <w:t>6.2</w:t>
      </w:r>
      <w:r w:rsidRPr="00AB5682">
        <w:rPr>
          <w:rFonts w:eastAsiaTheme="minorEastAsia"/>
          <w:noProof/>
          <w:kern w:val="0"/>
          <w:sz w:val="22"/>
          <w:szCs w:val="22"/>
          <w:lang w:eastAsia="en-GB"/>
        </w:rPr>
        <w:tab/>
      </w:r>
      <w:r w:rsidRPr="00AB5682">
        <w:rPr>
          <w:noProof/>
          <w:lang w:val="en-US"/>
        </w:rPr>
        <w:t>Recommendations for next steps</w:t>
      </w:r>
      <w:r w:rsidRPr="00AB5682">
        <w:rPr>
          <w:noProof/>
          <w:webHidden/>
        </w:rPr>
        <w:tab/>
      </w:r>
      <w:r w:rsidRPr="00D56987">
        <w:rPr>
          <w:noProof/>
          <w:webHidden/>
        </w:rPr>
        <w:fldChar w:fldCharType="begin"/>
      </w:r>
      <w:r w:rsidRPr="00AB5682">
        <w:rPr>
          <w:noProof/>
          <w:webHidden/>
        </w:rPr>
        <w:instrText xml:space="preserve"> PAGEREF _Toc7789760 \h </w:instrText>
      </w:r>
      <w:r w:rsidRPr="00D56987">
        <w:rPr>
          <w:noProof/>
          <w:webHidden/>
        </w:rPr>
      </w:r>
      <w:r w:rsidRPr="00D56987">
        <w:rPr>
          <w:noProof/>
          <w:webHidden/>
        </w:rPr>
        <w:fldChar w:fldCharType="separate"/>
      </w:r>
      <w:r w:rsidRPr="00AB5682">
        <w:rPr>
          <w:noProof/>
          <w:webHidden/>
        </w:rPr>
        <w:t>24</w:t>
      </w:r>
      <w:r w:rsidRPr="00D56987">
        <w:rPr>
          <w:noProof/>
          <w:webHidden/>
        </w:rPr>
        <w:fldChar w:fldCharType="end"/>
      </w:r>
    </w:p>
    <w:p w14:paraId="6B83F86F" w14:textId="77777777" w:rsidR="00AB5682" w:rsidRPr="00AB5682" w:rsidRDefault="00AB5682">
      <w:pPr>
        <w:pStyle w:val="TOC1"/>
        <w:rPr>
          <w:rFonts w:asciiTheme="minorHAnsi" w:eastAsiaTheme="minorEastAsia" w:hAnsiTheme="minorHAnsi"/>
          <w:noProof/>
          <w:kern w:val="0"/>
          <w:sz w:val="22"/>
          <w:szCs w:val="22"/>
          <w:lang w:eastAsia="en-GB"/>
        </w:rPr>
      </w:pPr>
      <w:r w:rsidRPr="00AB5682">
        <w:rPr>
          <w:noProof/>
        </w:rPr>
        <w:t>Appendix A : Housing Needs Assessment Glossary</w:t>
      </w:r>
      <w:r w:rsidRPr="00AB5682">
        <w:rPr>
          <w:noProof/>
          <w:webHidden/>
        </w:rPr>
        <w:tab/>
      </w:r>
      <w:r w:rsidRPr="00D56987">
        <w:rPr>
          <w:noProof/>
          <w:webHidden/>
        </w:rPr>
        <w:fldChar w:fldCharType="begin"/>
      </w:r>
      <w:r w:rsidRPr="00AB5682">
        <w:rPr>
          <w:noProof/>
          <w:webHidden/>
        </w:rPr>
        <w:instrText xml:space="preserve"> PAGEREF _Toc7789761 \h </w:instrText>
      </w:r>
      <w:r w:rsidRPr="00D56987">
        <w:rPr>
          <w:noProof/>
          <w:webHidden/>
        </w:rPr>
      </w:r>
      <w:r w:rsidRPr="00D56987">
        <w:rPr>
          <w:noProof/>
          <w:webHidden/>
        </w:rPr>
        <w:fldChar w:fldCharType="separate"/>
      </w:r>
      <w:r w:rsidRPr="00AB5682">
        <w:rPr>
          <w:noProof/>
          <w:webHidden/>
        </w:rPr>
        <w:t>26</w:t>
      </w:r>
      <w:r w:rsidRPr="00D56987">
        <w:rPr>
          <w:noProof/>
          <w:webHidden/>
        </w:rPr>
        <w:fldChar w:fldCharType="end"/>
      </w:r>
    </w:p>
    <w:p w14:paraId="625AB7DF" w14:textId="67490924" w:rsidR="003964F2" w:rsidRDefault="003964F2" w:rsidP="003964F2">
      <w:pPr>
        <w:pStyle w:val="BodyText"/>
        <w:rPr>
          <w:noProof/>
        </w:rPr>
      </w:pPr>
      <w:r>
        <w:rPr>
          <w:noProof/>
        </w:rPr>
        <w:fldChar w:fldCharType="end"/>
      </w:r>
    </w:p>
    <w:bookmarkEnd w:id="32"/>
    <w:p w14:paraId="1B46A312" w14:textId="77777777" w:rsidR="007935AD" w:rsidRDefault="007935AD" w:rsidP="000A14DC">
      <w:pPr>
        <w:rPr>
          <w:b/>
          <w:bCs/>
          <w:noProof/>
        </w:rPr>
        <w:sectPr w:rsidR="007935AD" w:rsidSect="004E43B0">
          <w:headerReference w:type="default" r:id="rId11"/>
          <w:footerReference w:type="default" r:id="rId12"/>
          <w:pgSz w:w="11906" w:h="16838" w:code="9"/>
          <w:pgMar w:top="1134" w:right="1440" w:bottom="851" w:left="1440" w:header="709" w:footer="284" w:gutter="0"/>
          <w:cols w:space="708"/>
          <w:docGrid w:linePitch="360"/>
        </w:sectPr>
      </w:pPr>
    </w:p>
    <w:p w14:paraId="7FEAB464" w14:textId="5DCD0985" w:rsidR="00E80CC8" w:rsidRPr="009A185E" w:rsidRDefault="009A185E" w:rsidP="00E80CC8">
      <w:pPr>
        <w:pStyle w:val="BodyText"/>
        <w:rPr>
          <w:b/>
          <w:bCs/>
          <w:szCs w:val="22"/>
          <w:lang w:val="en-US"/>
        </w:rPr>
      </w:pPr>
      <w:r w:rsidRPr="009A185E">
        <w:rPr>
          <w:b/>
          <w:bCs/>
          <w:szCs w:val="22"/>
          <w:lang w:val="en-US"/>
        </w:rPr>
        <w:lastRenderedPageBreak/>
        <w:t>List of acronyms used in the text:</w:t>
      </w:r>
    </w:p>
    <w:p w14:paraId="6A174BC6" w14:textId="77777777" w:rsidR="00E80CC8" w:rsidRPr="009A185E" w:rsidRDefault="00E80CC8" w:rsidP="00E80CC8">
      <w:pPr>
        <w:pStyle w:val="BodyText"/>
        <w:rPr>
          <w:bCs/>
          <w:szCs w:val="22"/>
          <w:lang w:val="en-U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13"/>
      </w:tblGrid>
      <w:tr w:rsidR="00CB34AF" w:rsidRPr="007D3059" w14:paraId="1618EC93" w14:textId="77777777" w:rsidTr="00695BCF">
        <w:trPr>
          <w:trHeight w:val="288"/>
        </w:trPr>
        <w:tc>
          <w:tcPr>
            <w:tcW w:w="1418" w:type="dxa"/>
            <w:shd w:val="clear" w:color="auto" w:fill="auto"/>
            <w:noWrap/>
            <w:vAlign w:val="center"/>
            <w:hideMark/>
          </w:tcPr>
          <w:p w14:paraId="0700059D" w14:textId="77777777" w:rsidR="00CB34AF" w:rsidRPr="007D3059" w:rsidRDefault="00CB34AF" w:rsidP="00695BCF">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AH </w:t>
            </w:r>
          </w:p>
        </w:tc>
        <w:tc>
          <w:tcPr>
            <w:tcW w:w="7513" w:type="dxa"/>
            <w:shd w:val="clear" w:color="auto" w:fill="auto"/>
            <w:noWrap/>
            <w:vAlign w:val="center"/>
            <w:hideMark/>
          </w:tcPr>
          <w:p w14:paraId="26E40ECF" w14:textId="77777777" w:rsidR="00CB34AF" w:rsidRPr="007D3059" w:rsidRDefault="00CB34AF" w:rsidP="00695BCF">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Affordable Housing (NPPF definition)</w:t>
            </w:r>
          </w:p>
        </w:tc>
      </w:tr>
      <w:tr w:rsidR="00CB34AF" w:rsidRPr="007D3059" w14:paraId="3EA86DE2" w14:textId="77777777" w:rsidTr="00695BCF">
        <w:trPr>
          <w:trHeight w:val="288"/>
        </w:trPr>
        <w:tc>
          <w:tcPr>
            <w:tcW w:w="1418" w:type="dxa"/>
            <w:shd w:val="clear" w:color="auto" w:fill="auto"/>
            <w:noWrap/>
            <w:vAlign w:val="center"/>
            <w:hideMark/>
          </w:tcPr>
          <w:p w14:paraId="553880EB" w14:textId="77777777" w:rsidR="00CB34AF" w:rsidRPr="007D3059" w:rsidRDefault="00CB34AF" w:rsidP="00695BCF">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AMH </w:t>
            </w:r>
          </w:p>
        </w:tc>
        <w:tc>
          <w:tcPr>
            <w:tcW w:w="7513" w:type="dxa"/>
            <w:shd w:val="clear" w:color="auto" w:fill="auto"/>
            <w:noWrap/>
            <w:vAlign w:val="center"/>
            <w:hideMark/>
          </w:tcPr>
          <w:p w14:paraId="73B69614" w14:textId="77777777" w:rsidR="00CB34AF" w:rsidRPr="007D3059" w:rsidRDefault="00CB34AF" w:rsidP="00695BCF">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Affordable Market Housing</w:t>
            </w:r>
          </w:p>
        </w:tc>
      </w:tr>
      <w:tr w:rsidR="004F6699" w:rsidRPr="007D3059" w14:paraId="7BAAAEA8" w14:textId="77777777" w:rsidTr="004F6699">
        <w:trPr>
          <w:trHeight w:val="288"/>
        </w:trPr>
        <w:tc>
          <w:tcPr>
            <w:tcW w:w="1418" w:type="dxa"/>
            <w:shd w:val="clear" w:color="auto" w:fill="auto"/>
            <w:noWrap/>
            <w:vAlign w:val="center"/>
          </w:tcPr>
          <w:p w14:paraId="5E8C513D" w14:textId="6D80477D"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szCs w:val="22"/>
                <w:lang w:eastAsia="zh-CN"/>
              </w:rPr>
              <w:t>B</w:t>
            </w:r>
            <w:r w:rsidRPr="007D3059">
              <w:rPr>
                <w:rFonts w:ascii="Arial" w:eastAsia="Times New Roman" w:hAnsi="Arial" w:cs="Arial"/>
                <w:color w:val="000000"/>
                <w:kern w:val="0"/>
                <w:szCs w:val="22"/>
                <w:lang w:eastAsia="zh-CN"/>
              </w:rPr>
              <w:t>DC</w:t>
            </w:r>
          </w:p>
        </w:tc>
        <w:tc>
          <w:tcPr>
            <w:tcW w:w="7513" w:type="dxa"/>
            <w:shd w:val="clear" w:color="auto" w:fill="auto"/>
            <w:noWrap/>
            <w:vAlign w:val="center"/>
          </w:tcPr>
          <w:p w14:paraId="48157EB5" w14:textId="6D43726B"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lang w:eastAsia="zh-CN"/>
              </w:rPr>
              <w:t xml:space="preserve">Babergh </w:t>
            </w:r>
            <w:r w:rsidRPr="007D3059">
              <w:rPr>
                <w:rFonts w:ascii="Arial" w:eastAsia="Times New Roman" w:hAnsi="Arial" w:cs="Arial"/>
                <w:color w:val="000000"/>
                <w:kern w:val="0"/>
                <w:lang w:eastAsia="zh-CN"/>
              </w:rPr>
              <w:t xml:space="preserve">District Council </w:t>
            </w:r>
          </w:p>
        </w:tc>
      </w:tr>
      <w:tr w:rsidR="004F6699" w:rsidRPr="007D3059" w14:paraId="471AEBBE" w14:textId="77777777" w:rsidTr="004F6699">
        <w:trPr>
          <w:trHeight w:val="288"/>
        </w:trPr>
        <w:tc>
          <w:tcPr>
            <w:tcW w:w="1418" w:type="dxa"/>
            <w:shd w:val="clear" w:color="auto" w:fill="auto"/>
            <w:noWrap/>
            <w:vAlign w:val="center"/>
          </w:tcPr>
          <w:p w14:paraId="5DFB591E" w14:textId="3A528BE1"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lang w:eastAsia="zh-CN"/>
              </w:rPr>
              <w:t>CWPC</w:t>
            </w:r>
          </w:p>
        </w:tc>
        <w:tc>
          <w:tcPr>
            <w:tcW w:w="7513" w:type="dxa"/>
            <w:shd w:val="clear" w:color="auto" w:fill="auto"/>
            <w:noWrap/>
            <w:vAlign w:val="center"/>
          </w:tcPr>
          <w:p w14:paraId="0E96B7EE" w14:textId="520D71D8"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lang w:eastAsia="zh-CN"/>
              </w:rPr>
              <w:t>Copdock and Washbrook Parish Council</w:t>
            </w:r>
          </w:p>
        </w:tc>
      </w:tr>
      <w:tr w:rsidR="004F6699" w:rsidRPr="007D3059" w14:paraId="031BEBEF" w14:textId="77777777" w:rsidTr="00695BCF">
        <w:trPr>
          <w:trHeight w:val="288"/>
        </w:trPr>
        <w:tc>
          <w:tcPr>
            <w:tcW w:w="1418" w:type="dxa"/>
            <w:shd w:val="clear" w:color="auto" w:fill="auto"/>
            <w:noWrap/>
            <w:vAlign w:val="center"/>
            <w:hideMark/>
          </w:tcPr>
          <w:p w14:paraId="55016893"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HLIN</w:t>
            </w:r>
          </w:p>
        </w:tc>
        <w:tc>
          <w:tcPr>
            <w:tcW w:w="7513" w:type="dxa"/>
            <w:shd w:val="clear" w:color="auto" w:fill="auto"/>
            <w:noWrap/>
            <w:vAlign w:val="center"/>
            <w:hideMark/>
          </w:tcPr>
          <w:p w14:paraId="3215A306"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Housing Learning and Improvement Network</w:t>
            </w:r>
          </w:p>
        </w:tc>
      </w:tr>
      <w:tr w:rsidR="004F6699" w:rsidRPr="007D3059" w14:paraId="2BB5AFB1" w14:textId="77777777" w:rsidTr="00695BCF">
        <w:trPr>
          <w:trHeight w:val="288"/>
        </w:trPr>
        <w:tc>
          <w:tcPr>
            <w:tcW w:w="1418" w:type="dxa"/>
            <w:shd w:val="clear" w:color="auto" w:fill="auto"/>
            <w:noWrap/>
            <w:vAlign w:val="center"/>
            <w:hideMark/>
          </w:tcPr>
          <w:p w14:paraId="6136DFA0"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HNA </w:t>
            </w:r>
          </w:p>
        </w:tc>
        <w:tc>
          <w:tcPr>
            <w:tcW w:w="7513" w:type="dxa"/>
            <w:shd w:val="clear" w:color="auto" w:fill="auto"/>
            <w:noWrap/>
            <w:vAlign w:val="center"/>
            <w:hideMark/>
          </w:tcPr>
          <w:p w14:paraId="112DF8FD"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Housing Needs Assessment</w:t>
            </w:r>
          </w:p>
        </w:tc>
      </w:tr>
      <w:tr w:rsidR="004F6699" w:rsidRPr="007D3059" w14:paraId="50604F33" w14:textId="77777777" w:rsidTr="00695BCF">
        <w:trPr>
          <w:trHeight w:val="288"/>
        </w:trPr>
        <w:tc>
          <w:tcPr>
            <w:tcW w:w="1418" w:type="dxa"/>
            <w:shd w:val="clear" w:color="auto" w:fill="auto"/>
            <w:noWrap/>
            <w:vAlign w:val="center"/>
            <w:hideMark/>
          </w:tcPr>
          <w:p w14:paraId="7421F276" w14:textId="23B39DF0"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H</w:t>
            </w:r>
            <w:r w:rsidR="00465696">
              <w:rPr>
                <w:rFonts w:ascii="Arial" w:eastAsia="Times New Roman" w:hAnsi="Arial" w:cs="Arial"/>
                <w:color w:val="000000"/>
                <w:kern w:val="0"/>
                <w:szCs w:val="22"/>
                <w:lang w:eastAsia="zh-CN"/>
              </w:rPr>
              <w:t>R</w:t>
            </w:r>
            <w:r w:rsidRPr="007D3059">
              <w:rPr>
                <w:rFonts w:ascii="Arial" w:eastAsia="Times New Roman" w:hAnsi="Arial" w:cs="Arial"/>
                <w:color w:val="000000"/>
                <w:kern w:val="0"/>
                <w:szCs w:val="22"/>
                <w:lang w:eastAsia="zh-CN"/>
              </w:rPr>
              <w:t>F</w:t>
            </w:r>
          </w:p>
        </w:tc>
        <w:tc>
          <w:tcPr>
            <w:tcW w:w="7513" w:type="dxa"/>
            <w:shd w:val="clear" w:color="auto" w:fill="auto"/>
            <w:noWrap/>
            <w:vAlign w:val="center"/>
            <w:hideMark/>
          </w:tcPr>
          <w:p w14:paraId="555F9EEA" w14:textId="3CBEBA68" w:rsidR="004F6699" w:rsidRPr="007D3059" w:rsidRDefault="00465696"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lang w:eastAsia="zh-CN"/>
              </w:rPr>
              <w:t>Housing Requirement Figure</w:t>
            </w:r>
          </w:p>
        </w:tc>
      </w:tr>
      <w:tr w:rsidR="000A276F" w:rsidRPr="007D3059" w14:paraId="270FC841" w14:textId="77777777" w:rsidTr="00695BCF">
        <w:trPr>
          <w:trHeight w:val="288"/>
        </w:trPr>
        <w:tc>
          <w:tcPr>
            <w:tcW w:w="1418" w:type="dxa"/>
            <w:shd w:val="clear" w:color="auto" w:fill="auto"/>
            <w:noWrap/>
            <w:vAlign w:val="center"/>
          </w:tcPr>
          <w:p w14:paraId="18CF8AFC" w14:textId="23822FB8" w:rsidR="000A276F" w:rsidRPr="007D3059" w:rsidRDefault="000A276F" w:rsidP="004F6699">
            <w:pPr>
              <w:tabs>
                <w:tab w:val="clear" w:pos="284"/>
              </w:tabs>
              <w:spacing w:line="240" w:lineRule="auto"/>
              <w:jc w:val="both"/>
              <w:rPr>
                <w:rFonts w:ascii="Arial" w:eastAsia="Times New Roman" w:hAnsi="Arial" w:cs="Arial"/>
                <w:color w:val="000000"/>
                <w:kern w:val="0"/>
                <w:szCs w:val="22"/>
                <w:lang w:eastAsia="zh-CN"/>
              </w:rPr>
            </w:pPr>
            <w:r>
              <w:rPr>
                <w:rFonts w:ascii="Arial" w:eastAsia="Times New Roman" w:hAnsi="Arial" w:cs="Arial"/>
                <w:color w:val="000000"/>
                <w:kern w:val="0"/>
                <w:szCs w:val="22"/>
                <w:lang w:eastAsia="zh-CN"/>
              </w:rPr>
              <w:t>JLP</w:t>
            </w:r>
          </w:p>
        </w:tc>
        <w:tc>
          <w:tcPr>
            <w:tcW w:w="7513" w:type="dxa"/>
            <w:shd w:val="clear" w:color="auto" w:fill="auto"/>
            <w:noWrap/>
            <w:vAlign w:val="center"/>
          </w:tcPr>
          <w:p w14:paraId="6D13AE3A" w14:textId="546D71F8" w:rsidR="000A276F" w:rsidRPr="007D3059" w:rsidRDefault="000A276F"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lang w:eastAsia="zh-CN"/>
              </w:rPr>
              <w:t>Joint Local Plan</w:t>
            </w:r>
          </w:p>
        </w:tc>
      </w:tr>
      <w:tr w:rsidR="004F6699" w:rsidRPr="007D3059" w14:paraId="2D847361" w14:textId="77777777" w:rsidTr="00695BCF">
        <w:trPr>
          <w:trHeight w:val="288"/>
        </w:trPr>
        <w:tc>
          <w:tcPr>
            <w:tcW w:w="1418" w:type="dxa"/>
            <w:shd w:val="clear" w:color="auto" w:fill="auto"/>
            <w:noWrap/>
            <w:vAlign w:val="center"/>
            <w:hideMark/>
          </w:tcPr>
          <w:p w14:paraId="19CB295A"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LPA </w:t>
            </w:r>
          </w:p>
        </w:tc>
        <w:tc>
          <w:tcPr>
            <w:tcW w:w="7513" w:type="dxa"/>
            <w:shd w:val="clear" w:color="auto" w:fill="auto"/>
            <w:noWrap/>
            <w:vAlign w:val="center"/>
            <w:hideMark/>
          </w:tcPr>
          <w:p w14:paraId="21FE22A9"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Local Planning Authority</w:t>
            </w:r>
          </w:p>
        </w:tc>
      </w:tr>
      <w:tr w:rsidR="004F6699" w:rsidRPr="007D3059" w14:paraId="1FDFBA0B" w14:textId="77777777" w:rsidTr="00695BCF">
        <w:trPr>
          <w:trHeight w:val="288"/>
        </w:trPr>
        <w:tc>
          <w:tcPr>
            <w:tcW w:w="1418" w:type="dxa"/>
            <w:shd w:val="clear" w:color="auto" w:fill="auto"/>
            <w:noWrap/>
            <w:vAlign w:val="center"/>
            <w:hideMark/>
          </w:tcPr>
          <w:p w14:paraId="4D4B1CBD"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MHCLG </w:t>
            </w:r>
          </w:p>
        </w:tc>
        <w:tc>
          <w:tcPr>
            <w:tcW w:w="7513" w:type="dxa"/>
            <w:shd w:val="clear" w:color="auto" w:fill="auto"/>
            <w:noWrap/>
            <w:vAlign w:val="center"/>
            <w:hideMark/>
          </w:tcPr>
          <w:p w14:paraId="559A69F5"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Ministry for Housing, Communities and Local Government (formerly DCLG)</w:t>
            </w:r>
          </w:p>
        </w:tc>
      </w:tr>
      <w:tr w:rsidR="004F6699" w:rsidRPr="007D3059" w14:paraId="7556142C" w14:textId="77777777" w:rsidTr="00695BCF">
        <w:trPr>
          <w:trHeight w:val="288"/>
        </w:trPr>
        <w:tc>
          <w:tcPr>
            <w:tcW w:w="1418" w:type="dxa"/>
            <w:shd w:val="clear" w:color="auto" w:fill="auto"/>
            <w:noWrap/>
            <w:vAlign w:val="center"/>
          </w:tcPr>
          <w:p w14:paraId="64F0E9E5" w14:textId="77777777" w:rsidR="004F6699" w:rsidRPr="007D3059" w:rsidRDefault="004F6699" w:rsidP="004F6699">
            <w:pPr>
              <w:tabs>
                <w:tab w:val="clear" w:pos="284"/>
              </w:tabs>
              <w:spacing w:line="240" w:lineRule="auto"/>
              <w:jc w:val="both"/>
              <w:rPr>
                <w:rFonts w:ascii="Arial" w:eastAsia="Times New Roman" w:hAnsi="Arial" w:cs="Arial"/>
                <w:color w:val="000000"/>
                <w:kern w:val="0"/>
                <w:szCs w:val="22"/>
                <w:lang w:eastAsia="zh-CN"/>
              </w:rPr>
            </w:pPr>
            <w:r>
              <w:rPr>
                <w:rFonts w:ascii="Arial" w:eastAsia="Times New Roman" w:hAnsi="Arial" w:cs="Arial"/>
                <w:color w:val="000000"/>
                <w:kern w:val="0"/>
                <w:szCs w:val="22"/>
                <w:lang w:eastAsia="zh-CN"/>
              </w:rPr>
              <w:t>NA</w:t>
            </w:r>
          </w:p>
        </w:tc>
        <w:tc>
          <w:tcPr>
            <w:tcW w:w="7513" w:type="dxa"/>
            <w:shd w:val="clear" w:color="auto" w:fill="auto"/>
            <w:noWrap/>
            <w:vAlign w:val="center"/>
          </w:tcPr>
          <w:p w14:paraId="0949F559"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lang w:eastAsia="zh-CN"/>
              </w:rPr>
              <w:t>Neighbourhood Area</w:t>
            </w:r>
          </w:p>
        </w:tc>
      </w:tr>
      <w:tr w:rsidR="004F6699" w:rsidRPr="007D3059" w14:paraId="123032DD" w14:textId="77777777" w:rsidTr="00695BCF">
        <w:trPr>
          <w:trHeight w:val="288"/>
        </w:trPr>
        <w:tc>
          <w:tcPr>
            <w:tcW w:w="1418" w:type="dxa"/>
            <w:shd w:val="clear" w:color="auto" w:fill="auto"/>
            <w:noWrap/>
            <w:vAlign w:val="center"/>
            <w:hideMark/>
          </w:tcPr>
          <w:p w14:paraId="0250C8B6"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NDP </w:t>
            </w:r>
          </w:p>
        </w:tc>
        <w:tc>
          <w:tcPr>
            <w:tcW w:w="7513" w:type="dxa"/>
            <w:shd w:val="clear" w:color="auto" w:fill="auto"/>
            <w:noWrap/>
            <w:vAlign w:val="center"/>
            <w:hideMark/>
          </w:tcPr>
          <w:p w14:paraId="703090CE"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Neighbourhood Development Plan</w:t>
            </w:r>
          </w:p>
        </w:tc>
      </w:tr>
      <w:tr w:rsidR="004F6699" w:rsidRPr="007D3059" w14:paraId="68075775" w14:textId="77777777" w:rsidTr="00695BCF">
        <w:trPr>
          <w:trHeight w:val="288"/>
        </w:trPr>
        <w:tc>
          <w:tcPr>
            <w:tcW w:w="1418" w:type="dxa"/>
            <w:shd w:val="clear" w:color="auto" w:fill="auto"/>
            <w:noWrap/>
            <w:vAlign w:val="center"/>
            <w:hideMark/>
          </w:tcPr>
          <w:p w14:paraId="5E1C14C9"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NP </w:t>
            </w:r>
          </w:p>
        </w:tc>
        <w:tc>
          <w:tcPr>
            <w:tcW w:w="7513" w:type="dxa"/>
            <w:shd w:val="clear" w:color="auto" w:fill="auto"/>
            <w:noWrap/>
            <w:vAlign w:val="center"/>
            <w:hideMark/>
          </w:tcPr>
          <w:p w14:paraId="76564E50"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Neighbourhood Plan</w:t>
            </w:r>
          </w:p>
        </w:tc>
      </w:tr>
      <w:tr w:rsidR="004F6699" w:rsidRPr="007D3059" w14:paraId="0F62F154" w14:textId="77777777" w:rsidTr="00695BCF">
        <w:trPr>
          <w:trHeight w:val="288"/>
        </w:trPr>
        <w:tc>
          <w:tcPr>
            <w:tcW w:w="1418" w:type="dxa"/>
            <w:shd w:val="clear" w:color="auto" w:fill="auto"/>
            <w:noWrap/>
            <w:vAlign w:val="center"/>
            <w:hideMark/>
          </w:tcPr>
          <w:p w14:paraId="7CB32234"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Pr>
                <w:rFonts w:ascii="Arial" w:eastAsia="Times New Roman" w:hAnsi="Arial" w:cs="Arial"/>
                <w:color w:val="000000"/>
                <w:kern w:val="0"/>
                <w:szCs w:val="22"/>
                <w:lang w:eastAsia="zh-CN"/>
              </w:rPr>
              <w:t>NPA</w:t>
            </w:r>
          </w:p>
        </w:tc>
        <w:tc>
          <w:tcPr>
            <w:tcW w:w="7513" w:type="dxa"/>
            <w:shd w:val="clear" w:color="auto" w:fill="auto"/>
            <w:noWrap/>
            <w:vAlign w:val="center"/>
            <w:hideMark/>
          </w:tcPr>
          <w:p w14:paraId="7F342B02"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Neighbourhood Plan Area</w:t>
            </w:r>
          </w:p>
        </w:tc>
      </w:tr>
      <w:tr w:rsidR="004F6699" w:rsidRPr="007D3059" w14:paraId="6454BFBD" w14:textId="77777777" w:rsidTr="00695BCF">
        <w:trPr>
          <w:trHeight w:val="288"/>
        </w:trPr>
        <w:tc>
          <w:tcPr>
            <w:tcW w:w="1418" w:type="dxa"/>
            <w:shd w:val="clear" w:color="auto" w:fill="auto"/>
            <w:noWrap/>
            <w:vAlign w:val="center"/>
            <w:hideMark/>
          </w:tcPr>
          <w:p w14:paraId="61D0D1E5"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NPPF </w:t>
            </w:r>
          </w:p>
        </w:tc>
        <w:tc>
          <w:tcPr>
            <w:tcW w:w="7513" w:type="dxa"/>
            <w:shd w:val="clear" w:color="auto" w:fill="auto"/>
            <w:noWrap/>
            <w:vAlign w:val="center"/>
            <w:hideMark/>
          </w:tcPr>
          <w:p w14:paraId="231128BE"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National Planning Policy Framework</w:t>
            </w:r>
          </w:p>
        </w:tc>
      </w:tr>
      <w:tr w:rsidR="004F6699" w:rsidRPr="007D3059" w14:paraId="2D0FC084" w14:textId="77777777" w:rsidTr="00695BCF">
        <w:trPr>
          <w:trHeight w:val="288"/>
        </w:trPr>
        <w:tc>
          <w:tcPr>
            <w:tcW w:w="1418" w:type="dxa"/>
            <w:shd w:val="clear" w:color="auto" w:fill="auto"/>
            <w:noWrap/>
            <w:vAlign w:val="center"/>
            <w:hideMark/>
          </w:tcPr>
          <w:p w14:paraId="224C90C6"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ONS </w:t>
            </w:r>
          </w:p>
        </w:tc>
        <w:tc>
          <w:tcPr>
            <w:tcW w:w="7513" w:type="dxa"/>
            <w:shd w:val="clear" w:color="auto" w:fill="auto"/>
            <w:noWrap/>
            <w:vAlign w:val="center"/>
            <w:hideMark/>
          </w:tcPr>
          <w:p w14:paraId="6E5AD0F9"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Office for National Statistics</w:t>
            </w:r>
          </w:p>
        </w:tc>
      </w:tr>
      <w:tr w:rsidR="004F6699" w:rsidRPr="007D3059" w14:paraId="0BF613B3" w14:textId="77777777" w:rsidTr="00695BCF">
        <w:trPr>
          <w:trHeight w:val="288"/>
        </w:trPr>
        <w:tc>
          <w:tcPr>
            <w:tcW w:w="1418" w:type="dxa"/>
            <w:shd w:val="clear" w:color="auto" w:fill="auto"/>
            <w:noWrap/>
            <w:vAlign w:val="center"/>
            <w:hideMark/>
          </w:tcPr>
          <w:p w14:paraId="50595CB2"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PPG </w:t>
            </w:r>
          </w:p>
        </w:tc>
        <w:tc>
          <w:tcPr>
            <w:tcW w:w="7513" w:type="dxa"/>
            <w:shd w:val="clear" w:color="auto" w:fill="auto"/>
            <w:noWrap/>
            <w:vAlign w:val="center"/>
            <w:hideMark/>
          </w:tcPr>
          <w:p w14:paraId="0F460337"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Planning Practice Guidance</w:t>
            </w:r>
          </w:p>
        </w:tc>
      </w:tr>
      <w:tr w:rsidR="004F6699" w:rsidRPr="007D3059" w14:paraId="2BBCCC60" w14:textId="77777777" w:rsidTr="00695BCF">
        <w:trPr>
          <w:trHeight w:val="288"/>
        </w:trPr>
        <w:tc>
          <w:tcPr>
            <w:tcW w:w="1418" w:type="dxa"/>
            <w:shd w:val="clear" w:color="auto" w:fill="auto"/>
            <w:noWrap/>
            <w:vAlign w:val="center"/>
            <w:hideMark/>
          </w:tcPr>
          <w:p w14:paraId="7A5E6EC6"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PRS </w:t>
            </w:r>
          </w:p>
        </w:tc>
        <w:tc>
          <w:tcPr>
            <w:tcW w:w="7513" w:type="dxa"/>
            <w:shd w:val="clear" w:color="auto" w:fill="auto"/>
            <w:noWrap/>
            <w:vAlign w:val="center"/>
            <w:hideMark/>
          </w:tcPr>
          <w:p w14:paraId="13CC9D57"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Private Rented Sector</w:t>
            </w:r>
          </w:p>
        </w:tc>
      </w:tr>
      <w:tr w:rsidR="004F6699" w:rsidRPr="007D3059" w14:paraId="7FF6D30A" w14:textId="77777777" w:rsidTr="00695BCF">
        <w:trPr>
          <w:trHeight w:val="288"/>
        </w:trPr>
        <w:tc>
          <w:tcPr>
            <w:tcW w:w="1418" w:type="dxa"/>
            <w:shd w:val="clear" w:color="auto" w:fill="auto"/>
            <w:noWrap/>
            <w:vAlign w:val="center"/>
            <w:hideMark/>
          </w:tcPr>
          <w:p w14:paraId="04F95A71"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SHLAA </w:t>
            </w:r>
          </w:p>
        </w:tc>
        <w:tc>
          <w:tcPr>
            <w:tcW w:w="7513" w:type="dxa"/>
            <w:shd w:val="clear" w:color="auto" w:fill="auto"/>
            <w:noWrap/>
            <w:vAlign w:val="center"/>
            <w:hideMark/>
          </w:tcPr>
          <w:p w14:paraId="6D0F532D"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Strategic Housing Land Availability Assessment</w:t>
            </w:r>
          </w:p>
        </w:tc>
      </w:tr>
      <w:tr w:rsidR="004F6699" w:rsidRPr="007D3059" w14:paraId="59EE5D24" w14:textId="77777777" w:rsidTr="00695BCF">
        <w:trPr>
          <w:trHeight w:val="288"/>
        </w:trPr>
        <w:tc>
          <w:tcPr>
            <w:tcW w:w="1418" w:type="dxa"/>
            <w:shd w:val="clear" w:color="auto" w:fill="auto"/>
            <w:noWrap/>
            <w:vAlign w:val="center"/>
            <w:hideMark/>
          </w:tcPr>
          <w:p w14:paraId="3B0B23D7"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szCs w:val="22"/>
                <w:lang w:eastAsia="zh-CN"/>
              </w:rPr>
              <w:t xml:space="preserve">SHMA </w:t>
            </w:r>
          </w:p>
        </w:tc>
        <w:tc>
          <w:tcPr>
            <w:tcW w:w="7513" w:type="dxa"/>
            <w:shd w:val="clear" w:color="auto" w:fill="auto"/>
            <w:noWrap/>
            <w:vAlign w:val="center"/>
            <w:hideMark/>
          </w:tcPr>
          <w:p w14:paraId="356AB6AA" w14:textId="77777777" w:rsidR="004F6699" w:rsidRPr="007D3059" w:rsidRDefault="004F6699" w:rsidP="004F6699">
            <w:pPr>
              <w:tabs>
                <w:tab w:val="clear" w:pos="284"/>
              </w:tabs>
              <w:spacing w:line="240" w:lineRule="auto"/>
              <w:jc w:val="both"/>
              <w:rPr>
                <w:rFonts w:ascii="Arial" w:eastAsia="Times New Roman" w:hAnsi="Arial" w:cs="Arial"/>
                <w:color w:val="000000"/>
                <w:kern w:val="0"/>
                <w:lang w:eastAsia="zh-CN"/>
              </w:rPr>
            </w:pPr>
            <w:r w:rsidRPr="007D3059">
              <w:rPr>
                <w:rFonts w:ascii="Arial" w:eastAsia="Times New Roman" w:hAnsi="Arial" w:cs="Arial"/>
                <w:color w:val="000000"/>
                <w:kern w:val="0"/>
                <w:lang w:eastAsia="zh-CN"/>
              </w:rPr>
              <w:t>Strategic Housing Market Assessment</w:t>
            </w:r>
          </w:p>
        </w:tc>
      </w:tr>
    </w:tbl>
    <w:p w14:paraId="445B39F9" w14:textId="77777777" w:rsidR="00E80CC8" w:rsidRPr="009A185E" w:rsidRDefault="00E80CC8" w:rsidP="00E80CC8">
      <w:pPr>
        <w:pStyle w:val="BodyText"/>
        <w:rPr>
          <w:color w:val="FF0000"/>
          <w:sz w:val="22"/>
          <w:szCs w:val="22"/>
          <w:lang w:val="en-US"/>
        </w:rPr>
      </w:pPr>
    </w:p>
    <w:p w14:paraId="7ACBEDFB" w14:textId="6A6506E7" w:rsidR="00520410" w:rsidRPr="00520410" w:rsidRDefault="00E80CC8" w:rsidP="00520410">
      <w:pPr>
        <w:pStyle w:val="Heading1"/>
      </w:pPr>
      <w:r w:rsidRPr="00520410">
        <w:br w:type="page"/>
      </w:r>
      <w:bookmarkStart w:id="33" w:name="_Toc327441327"/>
      <w:bookmarkStart w:id="34" w:name="_Toc461696201"/>
      <w:bookmarkStart w:id="35" w:name="_Toc7789705"/>
      <w:r w:rsidRPr="00520410">
        <w:lastRenderedPageBreak/>
        <w:t>Executive Summary</w:t>
      </w:r>
      <w:bookmarkEnd w:id="33"/>
      <w:bookmarkEnd w:id="34"/>
      <w:bookmarkEnd w:id="35"/>
    </w:p>
    <w:p w14:paraId="0DD41395" w14:textId="77777777" w:rsidR="00AC6AAF" w:rsidRPr="00445AF7" w:rsidRDefault="00AC6AAF" w:rsidP="00AC6AAF">
      <w:pPr>
        <w:tabs>
          <w:tab w:val="clear" w:pos="284"/>
        </w:tabs>
        <w:spacing w:line="240" w:lineRule="auto"/>
        <w:jc w:val="both"/>
        <w:rPr>
          <w:rFonts w:eastAsia="SimHei"/>
          <w:b/>
          <w:bCs/>
          <w:color w:val="00B5E2"/>
          <w:sz w:val="30"/>
          <w:szCs w:val="28"/>
          <w:lang w:val="en-US"/>
        </w:rPr>
      </w:pPr>
      <w:r w:rsidRPr="003B5E3D">
        <w:rPr>
          <w:highlight w:val="yellow"/>
        </w:rPr>
        <w:t>TO BE COMPLETED FOLLOWING CLIENT COMMENT</w:t>
      </w:r>
    </w:p>
    <w:p w14:paraId="40C6C6CD" w14:textId="77777777" w:rsidR="00520410" w:rsidRDefault="00520410">
      <w:pPr>
        <w:tabs>
          <w:tab w:val="clear" w:pos="284"/>
        </w:tabs>
        <w:spacing w:line="240" w:lineRule="auto"/>
        <w:rPr>
          <w:rFonts w:asciiTheme="majorHAnsi" w:eastAsiaTheme="majorEastAsia" w:hAnsiTheme="majorHAnsi" w:cstheme="majorBidi"/>
          <w:b/>
          <w:bCs/>
          <w:color w:val="00B5E2" w:themeColor="accent1"/>
          <w:sz w:val="30"/>
          <w:szCs w:val="28"/>
          <w:lang w:val="en-US"/>
        </w:rPr>
      </w:pPr>
      <w:r>
        <w:rPr>
          <w:lang w:val="en-US"/>
        </w:rPr>
        <w:br w:type="page"/>
      </w:r>
    </w:p>
    <w:p w14:paraId="1D3656E1" w14:textId="69D8387F" w:rsidR="00E80CC8" w:rsidRPr="00520410" w:rsidRDefault="00E80CC8" w:rsidP="00520410">
      <w:pPr>
        <w:pStyle w:val="Heading1"/>
      </w:pPr>
      <w:bookmarkStart w:id="36" w:name="_Toc7789706"/>
      <w:r w:rsidRPr="00520410">
        <w:lastRenderedPageBreak/>
        <w:t>Context</w:t>
      </w:r>
      <w:bookmarkStart w:id="37" w:name="_Toc425332010"/>
      <w:bookmarkStart w:id="38" w:name="_Toc461696212"/>
      <w:bookmarkEnd w:id="36"/>
    </w:p>
    <w:p w14:paraId="48AFB3C7" w14:textId="6A8E5B7C" w:rsidR="00E80CC8" w:rsidRDefault="00E80CC8" w:rsidP="00B90B1C">
      <w:pPr>
        <w:pStyle w:val="Heading2"/>
        <w:rPr>
          <w:lang w:val="en-US"/>
        </w:rPr>
      </w:pPr>
      <w:bookmarkStart w:id="39" w:name="_Toc7789707"/>
      <w:r w:rsidRPr="00E80CC8">
        <w:rPr>
          <w:lang w:val="en-US"/>
        </w:rPr>
        <w:t>Local context</w:t>
      </w:r>
      <w:bookmarkEnd w:id="39"/>
    </w:p>
    <w:p w14:paraId="33C6C9E4" w14:textId="3835C03F" w:rsidR="00B677CB" w:rsidRDefault="00B677CB" w:rsidP="00B677CB">
      <w:pPr>
        <w:pStyle w:val="ListNumber"/>
        <w:rPr>
          <w:lang w:val="en-GB"/>
        </w:rPr>
      </w:pPr>
      <w:r>
        <w:rPr>
          <w:lang w:val="en-GB"/>
        </w:rPr>
        <w:t xml:space="preserve">Copdock and Washbrook </w:t>
      </w:r>
      <w:r w:rsidR="00695BCF">
        <w:rPr>
          <w:lang w:val="en-GB"/>
        </w:rPr>
        <w:t>C</w:t>
      </w:r>
      <w:r w:rsidR="002E4E61">
        <w:rPr>
          <w:lang w:val="en-GB"/>
        </w:rPr>
        <w:t xml:space="preserve">ivil </w:t>
      </w:r>
      <w:r w:rsidR="00695BCF">
        <w:rPr>
          <w:lang w:val="en-GB"/>
        </w:rPr>
        <w:t>P</w:t>
      </w:r>
      <w:r w:rsidR="002E4E61">
        <w:rPr>
          <w:lang w:val="en-GB"/>
        </w:rPr>
        <w:t>arish cover</w:t>
      </w:r>
      <w:r w:rsidR="00A66EEA">
        <w:rPr>
          <w:lang w:val="en-GB"/>
        </w:rPr>
        <w:t>s</w:t>
      </w:r>
      <w:r w:rsidR="002E4E61">
        <w:rPr>
          <w:lang w:val="en-GB"/>
        </w:rPr>
        <w:t xml:space="preserve"> the two villages of </w:t>
      </w:r>
      <w:r w:rsidR="002E4E61" w:rsidRPr="002E4E61">
        <w:rPr>
          <w:lang w:val="en-GB"/>
        </w:rPr>
        <w:t>Copdock and Washbrook, as well as the hamlets of Coles Green, Mace Green and Washbrook Street.</w:t>
      </w:r>
      <w:r w:rsidR="00CF0606">
        <w:rPr>
          <w:lang w:val="en-GB"/>
        </w:rPr>
        <w:t xml:space="preserve"> Copdock and Washbrook Parish Council (CWPC) have commissioned a Housing Needs Assessment from Locality, to be delivered by AECOM, to inform their emerging Neighbourhood Plan.</w:t>
      </w:r>
    </w:p>
    <w:p w14:paraId="3129339A" w14:textId="4FA1F0BA" w:rsidR="002E4E61" w:rsidRDefault="002E4E61" w:rsidP="00B677CB">
      <w:pPr>
        <w:pStyle w:val="ListNumber"/>
        <w:rPr>
          <w:lang w:val="en-GB"/>
        </w:rPr>
      </w:pPr>
      <w:r>
        <w:rPr>
          <w:lang w:val="en-GB"/>
        </w:rPr>
        <w:t>The parish, approximately 938 hectares in size, is located within</w:t>
      </w:r>
      <w:r w:rsidR="00695BCF">
        <w:rPr>
          <w:lang w:val="en-GB"/>
        </w:rPr>
        <w:t xml:space="preserve"> </w:t>
      </w:r>
      <w:r>
        <w:rPr>
          <w:lang w:val="en-GB"/>
        </w:rPr>
        <w:t xml:space="preserve">Babergh district, which is situated in the County of Suffolk, in the East of England. </w:t>
      </w:r>
    </w:p>
    <w:p w14:paraId="0BB0A06F" w14:textId="0523004C" w:rsidR="00B677CB" w:rsidRDefault="00B677CB" w:rsidP="00B677CB">
      <w:pPr>
        <w:pStyle w:val="ListNumber"/>
        <w:rPr>
          <w:lang w:val="en-GB"/>
        </w:rPr>
      </w:pPr>
      <w:r w:rsidRPr="00E26B00">
        <w:rPr>
          <w:lang w:val="en-GB"/>
        </w:rPr>
        <w:t xml:space="preserve">Despite being a rural </w:t>
      </w:r>
      <w:r w:rsidR="00695BCF">
        <w:rPr>
          <w:lang w:val="en-GB"/>
        </w:rPr>
        <w:t>location</w:t>
      </w:r>
      <w:r w:rsidRPr="00E26B00">
        <w:rPr>
          <w:lang w:val="en-GB"/>
        </w:rPr>
        <w:t xml:space="preserve">, </w:t>
      </w:r>
      <w:r w:rsidR="00695BCF">
        <w:rPr>
          <w:lang w:val="en-GB"/>
        </w:rPr>
        <w:t>the</w:t>
      </w:r>
      <w:r w:rsidR="002E4E61">
        <w:rPr>
          <w:lang w:val="en-GB"/>
        </w:rPr>
        <w:t xml:space="preserve"> parish</w:t>
      </w:r>
      <w:r w:rsidRPr="00E26B00">
        <w:rPr>
          <w:lang w:val="en-GB"/>
        </w:rPr>
        <w:t xml:space="preserve"> is situated </w:t>
      </w:r>
      <w:r w:rsidR="002E4E61">
        <w:rPr>
          <w:lang w:val="en-GB"/>
        </w:rPr>
        <w:t xml:space="preserve">less </w:t>
      </w:r>
      <w:r w:rsidR="00695BCF">
        <w:rPr>
          <w:lang w:val="en-GB"/>
        </w:rPr>
        <w:t>only 5 kilometres</w:t>
      </w:r>
      <w:r w:rsidR="002E4E61">
        <w:rPr>
          <w:lang w:val="en-GB"/>
        </w:rPr>
        <w:t xml:space="preserve"> </w:t>
      </w:r>
      <w:r w:rsidRPr="00E26B00">
        <w:rPr>
          <w:lang w:val="en-GB"/>
        </w:rPr>
        <w:t>south</w:t>
      </w:r>
      <w:r w:rsidR="002E4E61">
        <w:rPr>
          <w:lang w:val="en-GB"/>
        </w:rPr>
        <w:t xml:space="preserve"> west of the historical county town of Ipswich. </w:t>
      </w:r>
      <w:r w:rsidRPr="00E26B00">
        <w:rPr>
          <w:lang w:val="en-GB"/>
        </w:rPr>
        <w:t xml:space="preserve"> </w:t>
      </w:r>
    </w:p>
    <w:p w14:paraId="798B500D" w14:textId="2AAF2E4F" w:rsidR="004E5630" w:rsidRPr="004E5630" w:rsidRDefault="004E5630" w:rsidP="004E5630">
      <w:pPr>
        <w:pStyle w:val="ListNumber"/>
        <w:rPr>
          <w:lang w:val="en-GB"/>
        </w:rPr>
      </w:pPr>
      <w:r>
        <w:t xml:space="preserve">The A12 runs along the south east boundary of the Parish, providing residents with access to </w:t>
      </w:r>
      <w:r w:rsidR="00695BCF">
        <w:t>London,</w:t>
      </w:r>
      <w:r>
        <w:t xml:space="preserve"> Chelmsford, Colchester, </w:t>
      </w:r>
      <w:r w:rsidR="00695BCF">
        <w:t xml:space="preserve">and </w:t>
      </w:r>
      <w:r>
        <w:t xml:space="preserve">Ipswich. Additionally, the A14 runs along the north east boundary of the Parish, providing direct access to </w:t>
      </w:r>
      <w:r w:rsidR="00695BCF">
        <w:t>the East Midlands</w:t>
      </w:r>
      <w:r>
        <w:t xml:space="preserve">, Cambridge, </w:t>
      </w:r>
      <w:r w:rsidRPr="004E5630">
        <w:rPr>
          <w:lang w:val="en-GB"/>
        </w:rPr>
        <w:t>Bury St Edmunds</w:t>
      </w:r>
      <w:r>
        <w:rPr>
          <w:lang w:val="en-GB"/>
        </w:rPr>
        <w:t xml:space="preserve">, </w:t>
      </w:r>
      <w:r w:rsidRPr="004E5630">
        <w:rPr>
          <w:lang w:val="en-GB"/>
        </w:rPr>
        <w:t>Ipswich</w:t>
      </w:r>
      <w:r>
        <w:rPr>
          <w:lang w:val="en-GB"/>
        </w:rPr>
        <w:t xml:space="preserve"> and </w:t>
      </w:r>
      <w:r w:rsidRPr="004E5630">
        <w:rPr>
          <w:lang w:val="en-GB"/>
        </w:rPr>
        <w:t>Felixstowe</w:t>
      </w:r>
      <w:r>
        <w:rPr>
          <w:lang w:val="en-GB"/>
        </w:rPr>
        <w:t xml:space="preserve">. </w:t>
      </w:r>
    </w:p>
    <w:p w14:paraId="024C3D8C" w14:textId="3D4D4314" w:rsidR="00B677CB" w:rsidRPr="00E26B00" w:rsidRDefault="004E5630" w:rsidP="00B677CB">
      <w:pPr>
        <w:pStyle w:val="ListNumber"/>
        <w:rPr>
          <w:lang w:val="en-GB"/>
        </w:rPr>
      </w:pPr>
      <w:r>
        <w:rPr>
          <w:lang w:val="en-GB"/>
        </w:rPr>
        <w:t xml:space="preserve">Copdock and Washbrook </w:t>
      </w:r>
      <w:r w:rsidR="00B677CB" w:rsidRPr="00E26B00">
        <w:rPr>
          <w:lang w:val="en-GB"/>
        </w:rPr>
        <w:t>was designated as a Neighbourhood Area (NA) in 201</w:t>
      </w:r>
      <w:r>
        <w:rPr>
          <w:lang w:val="en-GB"/>
        </w:rPr>
        <w:t>8</w:t>
      </w:r>
      <w:r w:rsidR="00B677CB" w:rsidRPr="00E26B00">
        <w:rPr>
          <w:lang w:val="en-GB"/>
        </w:rPr>
        <w:t>, and a steering group</w:t>
      </w:r>
      <w:r>
        <w:rPr>
          <w:lang w:val="en-GB"/>
        </w:rPr>
        <w:t xml:space="preserve"> has since </w:t>
      </w:r>
      <w:r w:rsidR="009073FA">
        <w:rPr>
          <w:lang w:val="en-GB"/>
        </w:rPr>
        <w:t>been</w:t>
      </w:r>
      <w:r w:rsidR="00B677CB" w:rsidRPr="00E26B00">
        <w:rPr>
          <w:lang w:val="en-GB"/>
        </w:rPr>
        <w:t xml:space="preserve"> working towards developing a Neighbourhood Plan (NP). A map identifying the designated </w:t>
      </w:r>
      <w:r>
        <w:rPr>
          <w:lang w:val="en-GB"/>
        </w:rPr>
        <w:t xml:space="preserve">Copdock and Washbrook </w:t>
      </w:r>
      <w:r w:rsidR="00B677CB" w:rsidRPr="00E26B00">
        <w:rPr>
          <w:lang w:val="en-GB"/>
        </w:rPr>
        <w:t>Neighbourhood Plan Area</w:t>
      </w:r>
      <w:r>
        <w:rPr>
          <w:lang w:val="en-GB"/>
        </w:rPr>
        <w:t xml:space="preserve"> (NPA)</w:t>
      </w:r>
      <w:r w:rsidR="00B677CB" w:rsidRPr="00E26B00">
        <w:rPr>
          <w:lang w:val="en-GB"/>
        </w:rPr>
        <w:t xml:space="preserve"> is shown below in Figure 2-1. </w:t>
      </w:r>
    </w:p>
    <w:p w14:paraId="7258969C" w14:textId="58131D85" w:rsidR="00B677CB" w:rsidRDefault="00993405" w:rsidP="00B677CB">
      <w:pPr>
        <w:pStyle w:val="BodyText"/>
        <w:rPr>
          <w:lang w:val="en-US"/>
        </w:rPr>
      </w:pPr>
      <w:r>
        <w:rPr>
          <w:noProof/>
          <w:lang w:eastAsia="en-GB"/>
        </w:rPr>
        <mc:AlternateContent>
          <mc:Choice Requires="wps">
            <w:drawing>
              <wp:anchor distT="0" distB="0" distL="114300" distR="114300" simplePos="0" relativeHeight="251660288" behindDoc="0" locked="0" layoutInCell="1" allowOverlap="1" wp14:anchorId="3E921A10" wp14:editId="520A14A9">
                <wp:simplePos x="0" y="0"/>
                <wp:positionH relativeFrom="column">
                  <wp:posOffset>274320</wp:posOffset>
                </wp:positionH>
                <wp:positionV relativeFrom="paragraph">
                  <wp:posOffset>79375</wp:posOffset>
                </wp:positionV>
                <wp:extent cx="39624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962400" cy="228600"/>
                        </a:xfrm>
                        <a:prstGeom prst="rect">
                          <a:avLst/>
                        </a:prstGeom>
                        <a:solidFill>
                          <a:prstClr val="white"/>
                        </a:solidFill>
                        <a:ln>
                          <a:noFill/>
                        </a:ln>
                      </wps:spPr>
                      <wps:txbx>
                        <w:txbxContent>
                          <w:p w14:paraId="1548784F" w14:textId="4CB09348" w:rsidR="00465696" w:rsidRPr="00541FA9" w:rsidRDefault="00465696" w:rsidP="009073FA">
                            <w:pPr>
                              <w:pStyle w:val="Caption"/>
                              <w:ind w:left="0"/>
                              <w:rPr>
                                <w:noProof/>
                                <w:sz w:val="18"/>
                              </w:rPr>
                            </w:pPr>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Copdock and Washbrook Neighbourhood Plan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1.6pt;margin-top:6.25pt;width:31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S3LwIAAGcEAAAOAAAAZHJzL2Uyb0RvYy54bWysVFFv2yAQfp+0/4B4X5yka9R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" stroked="f">
                <v:textbox inset="0,0,0,0">
                  <w:txbxContent>
                    <w:p w14:paraId="1548784F" w14:textId="4CB09348" w:rsidR="00465696" w:rsidRPr="00541FA9" w:rsidRDefault="00465696" w:rsidP="009073FA">
                      <w:pPr>
                        <w:pStyle w:val="Caption"/>
                        <w:ind w:left="0"/>
                        <w:rPr>
                          <w:noProof/>
                          <w:sz w:val="18"/>
                        </w:rPr>
                      </w:pPr>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Copdock and Washbrook Neighbourhood Plan Area</w:t>
                      </w:r>
                    </w:p>
                  </w:txbxContent>
                </v:textbox>
                <w10:wrap type="square"/>
              </v:shape>
            </w:pict>
          </mc:Fallback>
        </mc:AlternateContent>
      </w:r>
    </w:p>
    <w:p w14:paraId="61EA99F3" w14:textId="300D1569" w:rsidR="009073FA" w:rsidRDefault="009073FA" w:rsidP="00B677CB">
      <w:pPr>
        <w:pStyle w:val="BodyText"/>
        <w:rPr>
          <w:lang w:val="en-US"/>
        </w:rPr>
      </w:pPr>
      <w:r>
        <w:rPr>
          <w:noProof/>
          <w:lang w:eastAsia="en-GB"/>
        </w:rPr>
        <w:drawing>
          <wp:anchor distT="0" distB="0" distL="114300" distR="114300" simplePos="0" relativeHeight="251657216" behindDoc="0" locked="0" layoutInCell="1" allowOverlap="1" wp14:anchorId="177B509F" wp14:editId="67C76BE9">
            <wp:simplePos x="0" y="0"/>
            <wp:positionH relativeFrom="column">
              <wp:posOffset>-4067175</wp:posOffset>
            </wp:positionH>
            <wp:positionV relativeFrom="paragraph">
              <wp:posOffset>69850</wp:posOffset>
            </wp:positionV>
            <wp:extent cx="4086225" cy="52260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98" t="1072"/>
                    <a:stretch/>
                  </pic:blipFill>
                  <pic:spPr bwMode="auto">
                    <a:xfrm>
                      <a:off x="0" y="0"/>
                      <a:ext cx="4086225" cy="522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4E437" w14:textId="23A1DF6C" w:rsidR="009073FA" w:rsidRDefault="009073FA" w:rsidP="00B677CB">
      <w:pPr>
        <w:pStyle w:val="BodyText"/>
        <w:rPr>
          <w:lang w:val="en-US"/>
        </w:rPr>
      </w:pPr>
    </w:p>
    <w:p w14:paraId="4B556738" w14:textId="77777777" w:rsidR="009073FA" w:rsidRDefault="009073FA" w:rsidP="00B677CB">
      <w:pPr>
        <w:pStyle w:val="BodyText"/>
        <w:rPr>
          <w:lang w:val="fr-FR"/>
        </w:rPr>
      </w:pPr>
    </w:p>
    <w:p w14:paraId="4305A63A" w14:textId="77777777" w:rsidR="009073FA" w:rsidRDefault="009073FA" w:rsidP="00B677CB">
      <w:pPr>
        <w:pStyle w:val="BodyText"/>
        <w:rPr>
          <w:lang w:val="fr-FR"/>
        </w:rPr>
      </w:pPr>
    </w:p>
    <w:p w14:paraId="5720CF1F" w14:textId="77777777" w:rsidR="009073FA" w:rsidRDefault="009073FA" w:rsidP="00B677CB">
      <w:pPr>
        <w:pStyle w:val="BodyText"/>
        <w:rPr>
          <w:lang w:val="fr-FR"/>
        </w:rPr>
      </w:pPr>
    </w:p>
    <w:p w14:paraId="4C73DAA2" w14:textId="77777777" w:rsidR="009073FA" w:rsidRDefault="009073FA" w:rsidP="00B677CB">
      <w:pPr>
        <w:pStyle w:val="BodyText"/>
        <w:rPr>
          <w:lang w:val="fr-FR"/>
        </w:rPr>
      </w:pPr>
    </w:p>
    <w:p w14:paraId="5593F836" w14:textId="77777777" w:rsidR="009073FA" w:rsidRDefault="009073FA" w:rsidP="00B677CB">
      <w:pPr>
        <w:pStyle w:val="BodyText"/>
        <w:rPr>
          <w:lang w:val="fr-FR"/>
        </w:rPr>
      </w:pPr>
    </w:p>
    <w:p w14:paraId="16569EFB" w14:textId="77777777" w:rsidR="009073FA" w:rsidRDefault="009073FA" w:rsidP="00B677CB">
      <w:pPr>
        <w:pStyle w:val="BodyText"/>
        <w:rPr>
          <w:lang w:val="fr-FR"/>
        </w:rPr>
      </w:pPr>
    </w:p>
    <w:p w14:paraId="68DAEC28" w14:textId="77777777" w:rsidR="009073FA" w:rsidRDefault="009073FA" w:rsidP="00B677CB">
      <w:pPr>
        <w:pStyle w:val="BodyText"/>
        <w:rPr>
          <w:lang w:val="fr-FR"/>
        </w:rPr>
      </w:pPr>
    </w:p>
    <w:p w14:paraId="0B0272A9" w14:textId="77777777" w:rsidR="009073FA" w:rsidRDefault="009073FA" w:rsidP="00B677CB">
      <w:pPr>
        <w:pStyle w:val="BodyText"/>
        <w:rPr>
          <w:lang w:val="fr-FR"/>
        </w:rPr>
      </w:pPr>
    </w:p>
    <w:p w14:paraId="03595A6E" w14:textId="77777777" w:rsidR="009073FA" w:rsidRDefault="009073FA" w:rsidP="00B677CB">
      <w:pPr>
        <w:pStyle w:val="BodyText"/>
        <w:rPr>
          <w:lang w:val="fr-FR"/>
        </w:rPr>
      </w:pPr>
    </w:p>
    <w:p w14:paraId="3C0511DB" w14:textId="77777777" w:rsidR="009073FA" w:rsidRDefault="009073FA" w:rsidP="00B677CB">
      <w:pPr>
        <w:pStyle w:val="BodyText"/>
        <w:rPr>
          <w:lang w:val="fr-FR"/>
        </w:rPr>
      </w:pPr>
    </w:p>
    <w:p w14:paraId="650B298E" w14:textId="77777777" w:rsidR="009073FA" w:rsidRDefault="009073FA" w:rsidP="00B677CB">
      <w:pPr>
        <w:pStyle w:val="BodyText"/>
        <w:rPr>
          <w:lang w:val="fr-FR"/>
        </w:rPr>
      </w:pPr>
    </w:p>
    <w:p w14:paraId="179BAAD4" w14:textId="77777777" w:rsidR="009073FA" w:rsidRDefault="009073FA" w:rsidP="00B677CB">
      <w:pPr>
        <w:pStyle w:val="BodyText"/>
        <w:rPr>
          <w:lang w:val="fr-FR"/>
        </w:rPr>
      </w:pPr>
    </w:p>
    <w:p w14:paraId="58D6FC75" w14:textId="77777777" w:rsidR="009073FA" w:rsidRDefault="009073FA" w:rsidP="00B677CB">
      <w:pPr>
        <w:pStyle w:val="BodyText"/>
        <w:rPr>
          <w:lang w:val="fr-FR"/>
        </w:rPr>
      </w:pPr>
    </w:p>
    <w:p w14:paraId="431B6642" w14:textId="77777777" w:rsidR="009073FA" w:rsidRDefault="009073FA" w:rsidP="00B677CB">
      <w:pPr>
        <w:pStyle w:val="BodyText"/>
        <w:rPr>
          <w:lang w:val="fr-FR"/>
        </w:rPr>
      </w:pPr>
    </w:p>
    <w:p w14:paraId="40D4F881" w14:textId="77777777" w:rsidR="009073FA" w:rsidRDefault="009073FA" w:rsidP="00B677CB">
      <w:pPr>
        <w:pStyle w:val="BodyText"/>
        <w:rPr>
          <w:lang w:val="fr-FR"/>
        </w:rPr>
      </w:pPr>
    </w:p>
    <w:p w14:paraId="10F88568" w14:textId="77777777" w:rsidR="009073FA" w:rsidRDefault="009073FA" w:rsidP="00B677CB">
      <w:pPr>
        <w:pStyle w:val="BodyText"/>
        <w:rPr>
          <w:lang w:val="fr-FR"/>
        </w:rPr>
      </w:pPr>
    </w:p>
    <w:p w14:paraId="1626FADD" w14:textId="77777777" w:rsidR="009073FA" w:rsidRDefault="009073FA" w:rsidP="00B677CB">
      <w:pPr>
        <w:pStyle w:val="BodyText"/>
        <w:rPr>
          <w:lang w:val="fr-FR"/>
        </w:rPr>
      </w:pPr>
    </w:p>
    <w:p w14:paraId="141D1EE7" w14:textId="77777777" w:rsidR="009073FA" w:rsidRDefault="009073FA" w:rsidP="00B677CB">
      <w:pPr>
        <w:pStyle w:val="BodyText"/>
        <w:rPr>
          <w:lang w:val="fr-FR"/>
        </w:rPr>
      </w:pPr>
    </w:p>
    <w:p w14:paraId="1953CF34" w14:textId="7307FA60" w:rsidR="009073FA" w:rsidRPr="009073FA" w:rsidRDefault="009073FA" w:rsidP="009073FA">
      <w:pPr>
        <w:pStyle w:val="ListNumber"/>
        <w:numPr>
          <w:ilvl w:val="0"/>
          <w:numId w:val="0"/>
        </w:numPr>
        <w:ind w:left="425"/>
        <w:rPr>
          <w:i/>
        </w:rPr>
      </w:pPr>
      <w:r w:rsidRPr="009073FA">
        <w:rPr>
          <w:i/>
        </w:rPr>
        <w:t>Source: https://www.babergh.gov.uk/assets/Neighbourhood-Planning/CandW-NP-Area-Map.pdf</w:t>
      </w:r>
    </w:p>
    <w:p w14:paraId="5B2BAE43" w14:textId="77777777" w:rsidR="00E80CC8" w:rsidRPr="00E80CC8" w:rsidRDefault="00E80CC8" w:rsidP="00B90B1C">
      <w:pPr>
        <w:pStyle w:val="Heading2"/>
        <w:rPr>
          <w:lang w:val="en-US"/>
        </w:rPr>
      </w:pPr>
      <w:bookmarkStart w:id="40" w:name="_Toc7789708"/>
      <w:r w:rsidRPr="00E80CC8">
        <w:rPr>
          <w:lang w:val="en-US"/>
        </w:rPr>
        <w:lastRenderedPageBreak/>
        <w:t>Planning policy context</w:t>
      </w:r>
      <w:bookmarkEnd w:id="40"/>
    </w:p>
    <w:p w14:paraId="40D971F3" w14:textId="43F79921" w:rsidR="00B64412" w:rsidRPr="00D56987" w:rsidRDefault="00B64412" w:rsidP="001B0097">
      <w:pPr>
        <w:pStyle w:val="ListNumber"/>
      </w:pPr>
      <w:r w:rsidRPr="00D74572">
        <w:t xml:space="preserve">In line with the </w:t>
      </w:r>
      <w:r w:rsidR="00695BCF">
        <w:t>B</w:t>
      </w:r>
      <w:r w:rsidRPr="00D74572">
        <w:t xml:space="preserve">asic </w:t>
      </w:r>
      <w:r w:rsidR="00695BCF">
        <w:t>C</w:t>
      </w:r>
      <w:r w:rsidRPr="00D74572">
        <w:t xml:space="preserve">onditions of Neighbourhood Planning (NP), Neighbourhood Development Plans (NDPs) are required to be in general conformity with adopted strategic local policies. Consequently, there is a requirement for the relevant Local Plan to be reviewed as part of this Housing Needs Assessment (HNA). </w:t>
      </w:r>
    </w:p>
    <w:p w14:paraId="6D138727" w14:textId="4552AD1B" w:rsidR="00695BCF" w:rsidRPr="00342002" w:rsidRDefault="00B64412" w:rsidP="001B0097">
      <w:pPr>
        <w:pStyle w:val="ListNumber"/>
      </w:pPr>
      <w:bookmarkStart w:id="41" w:name="_Hlk7633651"/>
      <w:r>
        <w:t xml:space="preserve">The </w:t>
      </w:r>
      <w:r w:rsidR="002E347B">
        <w:t xml:space="preserve">current </w:t>
      </w:r>
      <w:r>
        <w:t xml:space="preserve">Babergh </w:t>
      </w:r>
      <w:r w:rsidR="002E347B">
        <w:t xml:space="preserve">Core Strategy, adopted in 2014, </w:t>
      </w:r>
      <w:r>
        <w:t>sets out</w:t>
      </w:r>
      <w:r w:rsidRPr="00154E23">
        <w:t xml:space="preserve"> detailed planning policies</w:t>
      </w:r>
      <w:r>
        <w:t xml:space="preserve"> for the area</w:t>
      </w:r>
      <w:r w:rsidR="002E347B">
        <w:t xml:space="preserve">, for the period of 2011 to </w:t>
      </w:r>
      <w:r w:rsidR="00B815D7">
        <w:t>203</w:t>
      </w:r>
      <w:r w:rsidR="002D485C">
        <w:t>1</w:t>
      </w:r>
      <w:r>
        <w:t xml:space="preserve">. </w:t>
      </w:r>
      <w:r w:rsidR="002E347B" w:rsidRPr="002E347B">
        <w:t>Ba</w:t>
      </w:r>
      <w:r w:rsidR="00695BCF">
        <w:t>b</w:t>
      </w:r>
      <w:r w:rsidR="002E347B" w:rsidRPr="002E347B">
        <w:t>ergh District Council</w:t>
      </w:r>
      <w:r w:rsidR="002E347B">
        <w:t xml:space="preserve"> </w:t>
      </w:r>
      <w:r w:rsidR="00F15B8B">
        <w:t xml:space="preserve">(BDC) </w:t>
      </w:r>
      <w:r w:rsidR="002E347B">
        <w:t xml:space="preserve">is working with </w:t>
      </w:r>
      <w:r w:rsidR="002E347B" w:rsidRPr="002E347B">
        <w:t>Mid Suffolk Distric</w:t>
      </w:r>
      <w:r w:rsidR="00132FEE">
        <w:t>t</w:t>
      </w:r>
      <w:r w:rsidR="000F7FD2">
        <w:t xml:space="preserve"> Council</w:t>
      </w:r>
      <w:r w:rsidR="002E347B">
        <w:t xml:space="preserve"> to develop a new Joint Local Plan for the Babergh and Mid Suffolk districts, which will replace the current Babergh Core Strategy. </w:t>
      </w:r>
      <w:r>
        <w:t>Upon completion, the</w:t>
      </w:r>
      <w:r w:rsidR="002E347B">
        <w:t xml:space="preserve"> Joint</w:t>
      </w:r>
      <w:r>
        <w:t xml:space="preserve"> Local Plan will provide the most up-to-date planning policy for </w:t>
      </w:r>
      <w:r w:rsidR="002E347B">
        <w:t>the area</w:t>
      </w:r>
      <w:r>
        <w:t xml:space="preserve">, for the period </w:t>
      </w:r>
      <w:r w:rsidR="000F7FD2">
        <w:t>up until</w:t>
      </w:r>
      <w:r>
        <w:t xml:space="preserve"> 2036.</w:t>
      </w:r>
      <w:r w:rsidR="000F7FD2">
        <w:t xml:space="preserve"> </w:t>
      </w:r>
    </w:p>
    <w:p w14:paraId="4B10DD11" w14:textId="77777777" w:rsidR="00695BCF" w:rsidRDefault="00B64412" w:rsidP="001B0097">
      <w:pPr>
        <w:pStyle w:val="ListNumber"/>
      </w:pPr>
      <w:r>
        <w:t>However, given that the</w:t>
      </w:r>
      <w:r w:rsidR="000F7FD2">
        <w:t xml:space="preserve"> Joint</w:t>
      </w:r>
      <w:r>
        <w:t xml:space="preserve"> Local Plan </w:t>
      </w:r>
      <w:r w:rsidR="000F7FD2">
        <w:t xml:space="preserve">is </w:t>
      </w:r>
      <w:r>
        <w:t xml:space="preserve">not due to be </w:t>
      </w:r>
      <w:r w:rsidR="000F7FD2">
        <w:t xml:space="preserve">adopted </w:t>
      </w:r>
      <w:r>
        <w:t xml:space="preserve">until </w:t>
      </w:r>
      <w:r w:rsidR="000F7FD2">
        <w:t>2020</w:t>
      </w:r>
      <w:r>
        <w:t xml:space="preserve">, the existing </w:t>
      </w:r>
      <w:r w:rsidR="000F7FD2">
        <w:t xml:space="preserve">Babergh Core Strategy will be the </w:t>
      </w:r>
      <w:r w:rsidRPr="00486310">
        <w:t xml:space="preserve">document with which the </w:t>
      </w:r>
      <w:r>
        <w:t>NP</w:t>
      </w:r>
      <w:r w:rsidRPr="00486310">
        <w:t xml:space="preserve"> must conform</w:t>
      </w:r>
      <w:r>
        <w:t xml:space="preserve">. </w:t>
      </w:r>
      <w:r w:rsidR="00695BCF">
        <w:t>However, in practice, there is normally little difficultly in achieving conformity with both the adopted Plan at the time of writing and the emerging Plan that will apply for the majority of the Neighbourhood Plan period, and for this reason, both Plans are reviewed below.</w:t>
      </w:r>
    </w:p>
    <w:p w14:paraId="06A3A7C9" w14:textId="38901A03" w:rsidR="00B64412" w:rsidRPr="00D56987" w:rsidRDefault="00695BCF" w:rsidP="00D56987">
      <w:pPr>
        <w:pStyle w:val="Heading3"/>
        <w:rPr>
          <w:rFonts w:asciiTheme="minorHAnsi" w:eastAsiaTheme="minorHAnsi" w:hAnsiTheme="minorHAnsi" w:cstheme="minorBidi"/>
          <w:bCs w:val="0"/>
          <w:sz w:val="20"/>
          <w:szCs w:val="20"/>
        </w:rPr>
      </w:pPr>
      <w:bookmarkStart w:id="42" w:name="_Toc7789709"/>
      <w:r w:rsidRPr="00D56987">
        <w:rPr>
          <w:sz w:val="20"/>
          <w:szCs w:val="20"/>
        </w:rPr>
        <w:t>Adopted Babergh Local Plan</w:t>
      </w:r>
      <w:bookmarkEnd w:id="42"/>
    </w:p>
    <w:p w14:paraId="554D750F" w14:textId="65F76CBC" w:rsidR="00695BCF" w:rsidRDefault="00695BCF" w:rsidP="00F15B8B">
      <w:pPr>
        <w:pStyle w:val="ListNumber"/>
      </w:pPr>
      <w:r>
        <w:t xml:space="preserve">This section reviews the policies of the adopted Babergh Local Plan that are considered relevant to housing needs in Copdock and Washbrook. Because only relevant text has been reviewed, </w:t>
      </w:r>
      <w:r w:rsidR="002D485C">
        <w:t>policies have been edited for clarity.</w:t>
      </w:r>
    </w:p>
    <w:p w14:paraId="7788A23D" w14:textId="2545DF99" w:rsidR="00520410" w:rsidRDefault="001B0097" w:rsidP="00F15B8B">
      <w:pPr>
        <w:pStyle w:val="ListNumber"/>
      </w:pPr>
      <w:r>
        <w:t xml:space="preserve">According to </w:t>
      </w:r>
      <w:r w:rsidRPr="00F15B8B">
        <w:rPr>
          <w:b/>
        </w:rPr>
        <w:t>Policy CS1</w:t>
      </w:r>
      <w:r w:rsidR="00F15B8B" w:rsidRPr="00F15B8B">
        <w:rPr>
          <w:b/>
        </w:rPr>
        <w:t>:</w:t>
      </w:r>
      <w:r w:rsidRPr="00F15B8B">
        <w:rPr>
          <w:b/>
        </w:rPr>
        <w:t xml:space="preserve"> Applying the </w:t>
      </w:r>
      <w:r w:rsidR="00D61A9B">
        <w:rPr>
          <w:b/>
        </w:rPr>
        <w:t>P</w:t>
      </w:r>
      <w:r w:rsidRPr="00F15B8B">
        <w:rPr>
          <w:b/>
        </w:rPr>
        <w:t xml:space="preserve">resumption in favor of </w:t>
      </w:r>
      <w:r w:rsidR="00D90B70">
        <w:rPr>
          <w:b/>
        </w:rPr>
        <w:t>S</w:t>
      </w:r>
      <w:r w:rsidRPr="00F15B8B">
        <w:rPr>
          <w:b/>
        </w:rPr>
        <w:t xml:space="preserve">ustainable </w:t>
      </w:r>
      <w:r w:rsidR="00D90B70">
        <w:rPr>
          <w:b/>
        </w:rPr>
        <w:t>D</w:t>
      </w:r>
      <w:r w:rsidRPr="00F15B8B">
        <w:rPr>
          <w:b/>
        </w:rPr>
        <w:t>evelopment in Babergh</w:t>
      </w:r>
      <w:r w:rsidR="00F15B8B">
        <w:t xml:space="preserve">, BDC will take a positive approach when considering development proposals, reflecting the presumption in favor of sustainable development contained in the National Planning Policy Framework (NPPF). </w:t>
      </w:r>
    </w:p>
    <w:p w14:paraId="59980790" w14:textId="7264C0AA" w:rsidR="00447576" w:rsidRPr="00447576" w:rsidRDefault="00F15B8B" w:rsidP="00447576">
      <w:pPr>
        <w:pStyle w:val="ListNumber"/>
        <w:rPr>
          <w:b/>
        </w:rPr>
      </w:pPr>
      <w:r w:rsidRPr="00447576">
        <w:rPr>
          <w:b/>
        </w:rPr>
        <w:t>Policy CS2: Settlement Pattern</w:t>
      </w:r>
      <w:r>
        <w:t xml:space="preserve"> directs new development</w:t>
      </w:r>
      <w:r w:rsidR="003275A7">
        <w:t xml:space="preserve"> </w:t>
      </w:r>
      <w:r>
        <w:t>to the towns / urban areas and to the Core Villages and the Hinterland villages</w:t>
      </w:r>
      <w:r w:rsidR="003275A7">
        <w:t xml:space="preserve"> within Babergh</w:t>
      </w:r>
      <w:r>
        <w:t>.</w:t>
      </w:r>
      <w:r w:rsidR="00132FEE">
        <w:t xml:space="preserve"> In the countryside, development is only permitted in exception</w:t>
      </w:r>
      <w:r w:rsidR="002D485C">
        <w:t>al</w:t>
      </w:r>
      <w:r w:rsidR="00132FEE">
        <w:t xml:space="preserve"> circumstances, where the need is justified and proven. Within </w:t>
      </w:r>
      <w:r w:rsidR="00132FEE" w:rsidRPr="00447576">
        <w:rPr>
          <w:b/>
        </w:rPr>
        <w:t>Policy CS2</w:t>
      </w:r>
      <w:r w:rsidR="00132FEE">
        <w:t xml:space="preserve">, </w:t>
      </w:r>
      <w:r>
        <w:t xml:space="preserve">Copdock and Washbrook </w:t>
      </w:r>
      <w:r w:rsidR="003275A7">
        <w:t>is</w:t>
      </w:r>
      <w:r>
        <w:t xml:space="preserve"> classified as </w:t>
      </w:r>
      <w:r w:rsidR="003275A7">
        <w:t xml:space="preserve">a </w:t>
      </w:r>
      <w:r>
        <w:t>Hinterland Village</w:t>
      </w:r>
      <w:r w:rsidR="00132FEE">
        <w:t xml:space="preserve"> which will accommodate some development to help meet </w:t>
      </w:r>
      <w:r w:rsidR="002D485C">
        <w:t xml:space="preserve">its </w:t>
      </w:r>
      <w:r w:rsidR="00132FEE">
        <w:t>needs</w:t>
      </w:r>
      <w:r w:rsidRPr="00447576">
        <w:t>.</w:t>
      </w:r>
    </w:p>
    <w:p w14:paraId="3F1BEE8A" w14:textId="20BD26F6" w:rsidR="00132FEE" w:rsidRDefault="00132FEE" w:rsidP="00F05BB8">
      <w:pPr>
        <w:pStyle w:val="ListNumber"/>
      </w:pPr>
      <w:r w:rsidRPr="00447576">
        <w:rPr>
          <w:b/>
        </w:rPr>
        <w:t>Policy CS3: Strategy for Growth and Development</w:t>
      </w:r>
      <w:r>
        <w:t xml:space="preserve"> makes provision for 5,975 new dwellings within Babergh District over the plan period, with 2,200 dwellings planned between 2011</w:t>
      </w:r>
      <w:r w:rsidR="002D485C">
        <w:t xml:space="preserve"> and </w:t>
      </w:r>
      <w:r>
        <w:t>2016 and a further 4,875 dwellings between 2017</w:t>
      </w:r>
      <w:r w:rsidR="002D485C">
        <w:t xml:space="preserve"> and </w:t>
      </w:r>
      <w:r w:rsidR="00B815D7">
        <w:t>2036</w:t>
      </w:r>
      <w:r>
        <w:t>. I</w:t>
      </w:r>
      <w:r w:rsidR="00D61A9B">
        <w:t xml:space="preserve">n terms of new land allocation numbers, provision will be made for 2,500 new dwellings, 1,050 of which will be delivered in the Core and Hinterland villages. </w:t>
      </w:r>
    </w:p>
    <w:p w14:paraId="48F65657" w14:textId="138C734D" w:rsidR="00D90B70" w:rsidRDefault="00D61A9B" w:rsidP="00D90B70">
      <w:pPr>
        <w:pStyle w:val="ListNumber"/>
      </w:pPr>
      <w:r w:rsidRPr="00D90B70">
        <w:t>In line with</w:t>
      </w:r>
      <w:r>
        <w:rPr>
          <w:b/>
        </w:rPr>
        <w:t xml:space="preserve"> Policy C</w:t>
      </w:r>
      <w:r w:rsidR="00D90B70">
        <w:rPr>
          <w:b/>
        </w:rPr>
        <w:t>S</w:t>
      </w:r>
      <w:r>
        <w:rPr>
          <w:b/>
        </w:rPr>
        <w:t>11</w:t>
      </w:r>
      <w:r w:rsidR="00D90B70">
        <w:rPr>
          <w:b/>
        </w:rPr>
        <w:t>:</w:t>
      </w:r>
      <w:r>
        <w:rPr>
          <w:b/>
        </w:rPr>
        <w:t xml:space="preserve"> Strategy for Development for Core and Hinterland Villages</w:t>
      </w:r>
      <w:r w:rsidR="00D90B70">
        <w:t xml:space="preserve">, development within Hinterland Villages will be approved where proposals demonstrate a close functional relationship to the existing settlement. Development should meet the following criteria: </w:t>
      </w:r>
    </w:p>
    <w:p w14:paraId="56A76237" w14:textId="3B79703F" w:rsidR="00D90B70" w:rsidRDefault="00D90B70" w:rsidP="00D90B70">
      <w:pPr>
        <w:pStyle w:val="ListBullet"/>
      </w:pPr>
      <w:r>
        <w:t xml:space="preserve">Well designed and appropriate in size, scale, layout and character to the setting and village; </w:t>
      </w:r>
    </w:p>
    <w:p w14:paraId="185879EF" w14:textId="431A4E71" w:rsidR="00D61A9B" w:rsidRDefault="00D90B70" w:rsidP="00D90B70">
      <w:pPr>
        <w:pStyle w:val="ListBullet"/>
      </w:pPr>
      <w:r>
        <w:t xml:space="preserve">Adjacent or well related to the existing pattern of development in the settlement; </w:t>
      </w:r>
    </w:p>
    <w:p w14:paraId="74756097" w14:textId="77777777" w:rsidR="00D90B70" w:rsidRDefault="00D90B70" w:rsidP="00D90B70">
      <w:pPr>
        <w:pStyle w:val="ListBullet"/>
      </w:pPr>
      <w:r>
        <w:t xml:space="preserve">Meet proven local need identified in the adopted community local plan or neighbourhood plan; </w:t>
      </w:r>
    </w:p>
    <w:p w14:paraId="5CD0D032" w14:textId="00AF0E31" w:rsidR="00D90B70" w:rsidRDefault="00D90B70" w:rsidP="00D90B70">
      <w:pPr>
        <w:pStyle w:val="ListBullet"/>
      </w:pPr>
      <w:r>
        <w:t xml:space="preserve">Support local services and create or expand employment opportunities; and </w:t>
      </w:r>
    </w:p>
    <w:p w14:paraId="44410C43" w14:textId="65283749" w:rsidR="00D90B70" w:rsidRDefault="00D90B70" w:rsidP="00D90B70">
      <w:pPr>
        <w:pStyle w:val="ListBullet"/>
      </w:pPr>
      <w:r>
        <w:t xml:space="preserve">Not compromise the delivery of permitted or identified schemes in adopted community or village local plans. </w:t>
      </w:r>
    </w:p>
    <w:p w14:paraId="0B063463" w14:textId="0FD3BC6F" w:rsidR="004511A2" w:rsidRDefault="004511A2" w:rsidP="00D90B70">
      <w:pPr>
        <w:pStyle w:val="ListNumber"/>
      </w:pPr>
      <w:r w:rsidRPr="004511A2">
        <w:rPr>
          <w:b/>
        </w:rPr>
        <w:t>Policy CS18: Mix and Types of Dwellings</w:t>
      </w:r>
      <w:r>
        <w:t xml:space="preserve"> ensures that the mix, type and size of housing development reflects the established need within the Babergh district. Any development on strategic housing sites or </w:t>
      </w:r>
      <w:r w:rsidR="003275A7">
        <w:t>mixed-use</w:t>
      </w:r>
      <w:r>
        <w:t xml:space="preserve"> developments with a substantial residential element will be required to make provision for the needs of vulnerable or identified groups of people.</w:t>
      </w:r>
    </w:p>
    <w:p w14:paraId="000FE274" w14:textId="71B7E42A" w:rsidR="00982154" w:rsidRDefault="00982154" w:rsidP="00D90B70">
      <w:pPr>
        <w:pStyle w:val="ListNumber"/>
      </w:pPr>
      <w:r>
        <w:t xml:space="preserve">As stated in </w:t>
      </w:r>
      <w:r w:rsidRPr="00982154">
        <w:rPr>
          <w:b/>
        </w:rPr>
        <w:t>Policy CS19: Affordable Homes</w:t>
      </w:r>
      <w:r w:rsidR="003275A7">
        <w:rPr>
          <w:b/>
        </w:rPr>
        <w:t>,</w:t>
      </w:r>
      <w:r>
        <w:t xml:space="preserve"> all residential development will be required to provide 35% affordable housing in order to promote inclusive and mixed communities. However, individual targets may be set in Core and Hinterland Villages</w:t>
      </w:r>
      <w:r w:rsidR="000A276F">
        <w:t xml:space="preserve"> in Area Action Plans and Site Allocation DPDs</w:t>
      </w:r>
      <w:r>
        <w:t xml:space="preserve">. Where proposed development includes only one or two dwellings, or where affordable homes cannot be provided on site, a commuted sum will be required. </w:t>
      </w:r>
    </w:p>
    <w:p w14:paraId="748CD3F2" w14:textId="3AC86A46" w:rsidR="003A01B4" w:rsidRPr="00447576" w:rsidRDefault="00982154" w:rsidP="00D90B70">
      <w:pPr>
        <w:pStyle w:val="ListNumber"/>
        <w:rPr>
          <w:b/>
        </w:rPr>
      </w:pPr>
      <w:r w:rsidRPr="00982154">
        <w:rPr>
          <w:b/>
        </w:rPr>
        <w:t xml:space="preserve">Policy CS20: Rural Exception Sites </w:t>
      </w:r>
      <w:r>
        <w:t xml:space="preserve">states that BDC will take a flexible approach to the location of rural exception sites, allowing proposals adjacent, or well related, to the settlement development boundaries of Core and Hinterland Villages, where the type, size, and character is appropriate and in line with identified needs. </w:t>
      </w:r>
    </w:p>
    <w:p w14:paraId="372330C8" w14:textId="77777777" w:rsidR="00447576" w:rsidRPr="00D56987" w:rsidRDefault="00447576" w:rsidP="00D56987">
      <w:pPr>
        <w:pStyle w:val="Heading3"/>
        <w:rPr>
          <w:sz w:val="20"/>
          <w:szCs w:val="20"/>
        </w:rPr>
      </w:pPr>
      <w:bookmarkStart w:id="43" w:name="_Toc7789710"/>
      <w:bookmarkStart w:id="44" w:name="_Hlk7637652"/>
      <w:bookmarkEnd w:id="41"/>
      <w:r w:rsidRPr="00D56987">
        <w:rPr>
          <w:sz w:val="20"/>
          <w:szCs w:val="20"/>
        </w:rPr>
        <w:lastRenderedPageBreak/>
        <w:t>Babergh &amp; Mid Suffolk Joint Local Plan: Consultation Document August 2017</w:t>
      </w:r>
      <w:bookmarkEnd w:id="43"/>
    </w:p>
    <w:p w14:paraId="5C132E90" w14:textId="55700521" w:rsidR="00447576" w:rsidRDefault="00447576" w:rsidP="00447576">
      <w:pPr>
        <w:numPr>
          <w:ilvl w:val="0"/>
          <w:numId w:val="15"/>
        </w:numPr>
        <w:tabs>
          <w:tab w:val="clear" w:pos="284"/>
        </w:tabs>
        <w:spacing w:after="120"/>
        <w:ind w:left="426"/>
      </w:pPr>
      <w:bookmarkStart w:id="45" w:name="_Ref280776"/>
      <w:r w:rsidRPr="00A83316">
        <w:t xml:space="preserve">The </w:t>
      </w:r>
      <w:r w:rsidR="000A276F">
        <w:t>Joint Local Plan (</w:t>
      </w:r>
      <w:r w:rsidRPr="00A83316">
        <w:t>JLP</w:t>
      </w:r>
      <w:r w:rsidR="000A276F">
        <w:t>)</w:t>
      </w:r>
      <w:r w:rsidRPr="00A83316">
        <w:t xml:space="preserve"> consultation document is formed of three key parts: strategic, delivery and places. The delivery section includes four priority areas for the plan which includes Housing, Economy, Environment and Healthy Communities &amp; Infrastructure. Here we review the housing chapters and the relevant policies that are outlined. </w:t>
      </w:r>
      <w:r w:rsidR="000A276F">
        <w:t>Given that the 2017 document is a Consultation Document</w:t>
      </w:r>
      <w:r w:rsidR="004616EE">
        <w:t xml:space="preserve"> meaning that rather than draft policies, it contains a range of outline policy options for local people to comment on. This means that </w:t>
      </w:r>
      <w:r w:rsidR="000A276F">
        <w:t xml:space="preserve">at the time of writing </w:t>
      </w:r>
      <w:r w:rsidR="004616EE">
        <w:t>the emerging planning framework</w:t>
      </w:r>
      <w:r w:rsidR="000A276F">
        <w:t xml:space="preserve"> carries relatively little weight for planning purposes compared to the Adopted Local Plan reviewed above.</w:t>
      </w:r>
    </w:p>
    <w:p w14:paraId="19DA1DD4" w14:textId="7F914DCE" w:rsidR="004616EE" w:rsidRDefault="004616EE" w:rsidP="00447576">
      <w:pPr>
        <w:numPr>
          <w:ilvl w:val="0"/>
          <w:numId w:val="15"/>
        </w:numPr>
        <w:tabs>
          <w:tab w:val="clear" w:pos="284"/>
        </w:tabs>
        <w:spacing w:after="120"/>
        <w:ind w:left="426"/>
      </w:pPr>
      <w:r>
        <w:t>As an additional caveat, though the Consultation Document was based on an emerging Objectively Assessed Need for housing for Babergh, which at the time of the consultation was considered definitive, this method of calculation has subsequently been superseded by the Government’s new Standard Method, and as such the quantity of housing that the Council was planning for in 2017 is considered to have been superseded, and thus not reviewed by this assessment (for further details, please see Quantity chapter below).</w:t>
      </w:r>
    </w:p>
    <w:p w14:paraId="66EE3635" w14:textId="709AAA2E" w:rsidR="00447576" w:rsidRPr="00A83316" w:rsidRDefault="00447576" w:rsidP="00447576">
      <w:pPr>
        <w:pStyle w:val="ListNumber"/>
        <w:spacing w:line="240" w:lineRule="atLeast"/>
      </w:pPr>
      <w:r w:rsidRPr="00A83316">
        <w:rPr>
          <w:b/>
        </w:rPr>
        <w:t>Option SET2 Key &amp; Supporting Services -</w:t>
      </w:r>
      <w:r w:rsidRPr="00A83316">
        <w:t xml:space="preserve"> The </w:t>
      </w:r>
      <w:r>
        <w:t>JLP</w:t>
      </w:r>
      <w:r w:rsidR="000A276F">
        <w:t xml:space="preserve">’s approach to the settlement hierarchy is informed by the </w:t>
      </w:r>
      <w:r>
        <w:t>Babergh &amp; Mid Suffolk Settlement Hierarchy Review 2017</w:t>
      </w:r>
      <w:r w:rsidR="000A276F">
        <w:t xml:space="preserve">. </w:t>
      </w:r>
      <w:r>
        <w:t xml:space="preserve">In the JLP settlement hierarchy </w:t>
      </w:r>
      <w:r w:rsidR="00AC6AAF">
        <w:t>Copdock</w:t>
      </w:r>
      <w:r w:rsidR="000A276F">
        <w:t xml:space="preserve"> and Washbrook continues to be</w:t>
      </w:r>
      <w:r>
        <w:t xml:space="preserve"> classed as </w:t>
      </w:r>
      <w:r w:rsidR="000A276F">
        <w:t xml:space="preserve">a </w:t>
      </w:r>
      <w:r>
        <w:t>Hinterland Village</w:t>
      </w:r>
      <w:r w:rsidR="000A276F">
        <w:t>, now designated as within the Ipswich Fringe Area.</w:t>
      </w:r>
      <w:bookmarkEnd w:id="45"/>
    </w:p>
    <w:p w14:paraId="200EE93B" w14:textId="5ED1840F" w:rsidR="00447576" w:rsidRPr="00A83316" w:rsidRDefault="00447576" w:rsidP="00447576">
      <w:pPr>
        <w:numPr>
          <w:ilvl w:val="0"/>
          <w:numId w:val="15"/>
        </w:numPr>
        <w:tabs>
          <w:tab w:val="clear" w:pos="284"/>
        </w:tabs>
        <w:spacing w:after="120"/>
        <w:ind w:left="426"/>
      </w:pPr>
      <w:r w:rsidRPr="00A83316">
        <w:rPr>
          <w:b/>
        </w:rPr>
        <w:t>Spatial Distribution:</w:t>
      </w:r>
      <w:r w:rsidRPr="00A83316">
        <w:t xml:space="preserve"> </w:t>
      </w:r>
      <w:r>
        <w:t>Within the JLP document, t</w:t>
      </w:r>
      <w:r w:rsidRPr="00A83316">
        <w:t xml:space="preserve">he Council is consulting on four different options to take in relation to spatial distribution. These are described in </w:t>
      </w:r>
      <w:r w:rsidRPr="00A71202">
        <w:fldChar w:fldCharType="begin"/>
      </w:r>
      <w:r w:rsidRPr="00A71202">
        <w:instrText xml:space="preserve"> REF _Ref517695221 \h </w:instrText>
      </w:r>
      <w:r>
        <w:instrText xml:space="preserve"> \* MERGEFORMAT </w:instrText>
      </w:r>
      <w:r w:rsidRPr="00A71202">
        <w:fldChar w:fldCharType="separate"/>
      </w:r>
      <w:r w:rsidR="004F6699" w:rsidRPr="004F6699">
        <w:t>Table 2</w:t>
      </w:r>
      <w:r w:rsidR="004F6699" w:rsidRPr="004F6699">
        <w:noBreakHyphen/>
        <w:t>1</w:t>
      </w:r>
      <w:r w:rsidRPr="00A71202">
        <w:fldChar w:fldCharType="end"/>
      </w:r>
      <w:r w:rsidRPr="00A83316">
        <w:t xml:space="preserve"> below.</w:t>
      </w:r>
    </w:p>
    <w:p w14:paraId="77164376" w14:textId="0C55DD86" w:rsidR="00447576" w:rsidRPr="00A83316" w:rsidRDefault="00447576" w:rsidP="00447576">
      <w:pPr>
        <w:keepNext/>
        <w:ind w:left="425"/>
        <w:rPr>
          <w:rFonts w:asciiTheme="majorHAnsi" w:hAnsiTheme="majorHAnsi"/>
          <w:b/>
          <w:bCs/>
          <w:color w:val="00B5E2" w:themeColor="accent1"/>
          <w:sz w:val="20"/>
        </w:rPr>
      </w:pPr>
      <w:bookmarkStart w:id="46" w:name="_Ref517695221"/>
      <w:r w:rsidRPr="00A83316">
        <w:rPr>
          <w:rFonts w:asciiTheme="majorHAnsi" w:hAnsiTheme="majorHAnsi"/>
          <w:b/>
          <w:bCs/>
          <w:color w:val="00B5E2" w:themeColor="accent1"/>
          <w:sz w:val="20"/>
        </w:rPr>
        <w:t xml:space="preserve">Table </w:t>
      </w:r>
      <w:r>
        <w:rPr>
          <w:rFonts w:asciiTheme="majorHAnsi" w:hAnsiTheme="majorHAnsi"/>
          <w:b/>
          <w:bCs/>
          <w:color w:val="00B5E2" w:themeColor="accent1"/>
          <w:sz w:val="20"/>
        </w:rPr>
        <w:fldChar w:fldCharType="begin"/>
      </w:r>
      <w:r>
        <w:rPr>
          <w:rFonts w:asciiTheme="majorHAnsi" w:hAnsiTheme="majorHAnsi"/>
          <w:b/>
          <w:bCs/>
          <w:color w:val="00B5E2" w:themeColor="accent1"/>
          <w:sz w:val="20"/>
        </w:rPr>
        <w:instrText xml:space="preserve"> STYLEREF 1 \s </w:instrText>
      </w:r>
      <w:r>
        <w:rPr>
          <w:rFonts w:asciiTheme="majorHAnsi" w:hAnsiTheme="majorHAnsi"/>
          <w:b/>
          <w:bCs/>
          <w:color w:val="00B5E2" w:themeColor="accent1"/>
          <w:sz w:val="20"/>
        </w:rPr>
        <w:fldChar w:fldCharType="separate"/>
      </w:r>
      <w:r w:rsidR="004F6699">
        <w:rPr>
          <w:rFonts w:asciiTheme="majorHAnsi" w:hAnsiTheme="majorHAnsi"/>
          <w:b/>
          <w:bCs/>
          <w:noProof/>
          <w:color w:val="00B5E2" w:themeColor="accent1"/>
          <w:sz w:val="20"/>
        </w:rPr>
        <w:t>2</w:t>
      </w:r>
      <w:r>
        <w:rPr>
          <w:rFonts w:asciiTheme="majorHAnsi" w:hAnsiTheme="majorHAnsi"/>
          <w:b/>
          <w:bCs/>
          <w:color w:val="00B5E2" w:themeColor="accent1"/>
          <w:sz w:val="20"/>
        </w:rPr>
        <w:fldChar w:fldCharType="end"/>
      </w:r>
      <w:r>
        <w:rPr>
          <w:rFonts w:asciiTheme="majorHAnsi" w:hAnsiTheme="majorHAnsi"/>
          <w:b/>
          <w:bCs/>
          <w:color w:val="00B5E2" w:themeColor="accent1"/>
          <w:sz w:val="20"/>
        </w:rPr>
        <w:noBreakHyphen/>
      </w:r>
      <w:r>
        <w:rPr>
          <w:rFonts w:asciiTheme="majorHAnsi" w:hAnsiTheme="majorHAnsi"/>
          <w:b/>
          <w:bCs/>
          <w:color w:val="00B5E2" w:themeColor="accent1"/>
          <w:sz w:val="20"/>
        </w:rPr>
        <w:fldChar w:fldCharType="begin"/>
      </w:r>
      <w:r>
        <w:rPr>
          <w:rFonts w:asciiTheme="majorHAnsi" w:hAnsiTheme="majorHAnsi"/>
          <w:b/>
          <w:bCs/>
          <w:color w:val="00B5E2" w:themeColor="accent1"/>
          <w:sz w:val="20"/>
        </w:rPr>
        <w:instrText xml:space="preserve"> SEQ Table \* ARABIC \s 1 </w:instrText>
      </w:r>
      <w:r>
        <w:rPr>
          <w:rFonts w:asciiTheme="majorHAnsi" w:hAnsiTheme="majorHAnsi"/>
          <w:b/>
          <w:bCs/>
          <w:color w:val="00B5E2" w:themeColor="accent1"/>
          <w:sz w:val="20"/>
        </w:rPr>
        <w:fldChar w:fldCharType="separate"/>
      </w:r>
      <w:r w:rsidR="004F6699">
        <w:rPr>
          <w:rFonts w:asciiTheme="majorHAnsi" w:hAnsiTheme="majorHAnsi"/>
          <w:b/>
          <w:bCs/>
          <w:noProof/>
          <w:color w:val="00B5E2" w:themeColor="accent1"/>
          <w:sz w:val="20"/>
        </w:rPr>
        <w:t>1</w:t>
      </w:r>
      <w:r>
        <w:rPr>
          <w:rFonts w:asciiTheme="majorHAnsi" w:hAnsiTheme="majorHAnsi"/>
          <w:b/>
          <w:bCs/>
          <w:color w:val="00B5E2" w:themeColor="accent1"/>
          <w:sz w:val="20"/>
        </w:rPr>
        <w:fldChar w:fldCharType="end"/>
      </w:r>
      <w:bookmarkEnd w:id="46"/>
      <w:r w:rsidRPr="00A83316">
        <w:rPr>
          <w:rFonts w:asciiTheme="majorHAnsi" w:hAnsiTheme="majorHAnsi"/>
          <w:b/>
          <w:bCs/>
          <w:color w:val="00B5E2" w:themeColor="accent1"/>
          <w:sz w:val="20"/>
        </w:rPr>
        <w:t xml:space="preserve">: Spatial Distribution Options </w:t>
      </w:r>
    </w:p>
    <w:tbl>
      <w:tblPr>
        <w:tblStyle w:val="TableGrid"/>
        <w:tblW w:w="0" w:type="auto"/>
        <w:tblInd w:w="483" w:type="dxa"/>
        <w:tblLook w:val="04A0" w:firstRow="1" w:lastRow="0" w:firstColumn="1" w:lastColumn="0" w:noHBand="0" w:noVBand="1"/>
      </w:tblPr>
      <w:tblGrid>
        <w:gridCol w:w="4415"/>
        <w:gridCol w:w="4242"/>
      </w:tblGrid>
      <w:tr w:rsidR="00447576" w:rsidRPr="00A83316" w14:paraId="44E5D7F2" w14:textId="77777777" w:rsidTr="00F05BB8">
        <w:trPr>
          <w:cnfStyle w:val="100000000000" w:firstRow="1" w:lastRow="0" w:firstColumn="0" w:lastColumn="0" w:oddVBand="0" w:evenVBand="0" w:oddHBand="0" w:evenHBand="0" w:firstRowFirstColumn="0" w:firstRowLastColumn="0" w:lastRowFirstColumn="0" w:lastRowLastColumn="0"/>
        </w:trPr>
        <w:tc>
          <w:tcPr>
            <w:tcW w:w="4415" w:type="dxa"/>
            <w:shd w:val="clear" w:color="auto" w:fill="000000" w:themeFill="text1"/>
          </w:tcPr>
          <w:p w14:paraId="2C270D90" w14:textId="77777777" w:rsidR="00447576" w:rsidRPr="00A83316" w:rsidRDefault="00447576" w:rsidP="00F05BB8">
            <w:pPr>
              <w:rPr>
                <w:b/>
                <w:color w:val="FFFFFF" w:themeColor="background2"/>
              </w:rPr>
            </w:pPr>
            <w:r w:rsidRPr="00A83316">
              <w:rPr>
                <w:b/>
                <w:color w:val="FFFFFF" w:themeColor="background2"/>
              </w:rPr>
              <w:t>Option description</w:t>
            </w:r>
          </w:p>
        </w:tc>
        <w:tc>
          <w:tcPr>
            <w:tcW w:w="4242" w:type="dxa"/>
            <w:shd w:val="clear" w:color="auto" w:fill="000000" w:themeFill="text1"/>
          </w:tcPr>
          <w:p w14:paraId="7140255A" w14:textId="77777777" w:rsidR="00447576" w:rsidRPr="00A83316" w:rsidRDefault="00447576" w:rsidP="00F05BB8">
            <w:pPr>
              <w:rPr>
                <w:b/>
                <w:color w:val="FFFFFF" w:themeColor="background2"/>
              </w:rPr>
            </w:pPr>
            <w:r w:rsidRPr="00A83316">
              <w:rPr>
                <w:b/>
                <w:color w:val="FFFFFF" w:themeColor="background2"/>
              </w:rPr>
              <w:t xml:space="preserve">Percentage of district growth for all </w:t>
            </w:r>
            <w:r>
              <w:rPr>
                <w:b/>
                <w:color w:val="FFFFFF" w:themeColor="background2"/>
              </w:rPr>
              <w:t>Hinterland Villages</w:t>
            </w:r>
          </w:p>
        </w:tc>
      </w:tr>
      <w:tr w:rsidR="00447576" w:rsidRPr="00A83316" w14:paraId="434D9977" w14:textId="77777777" w:rsidTr="00F05BB8">
        <w:tc>
          <w:tcPr>
            <w:tcW w:w="4415" w:type="dxa"/>
          </w:tcPr>
          <w:p w14:paraId="409A2845" w14:textId="77777777" w:rsidR="00447576" w:rsidRPr="00A83316" w:rsidRDefault="00447576" w:rsidP="00F05BB8">
            <w:r>
              <w:rPr>
                <w:b/>
              </w:rPr>
              <w:t>Option B</w:t>
            </w:r>
            <w:r w:rsidRPr="00A83316">
              <w:rPr>
                <w:b/>
              </w:rPr>
              <w:t>HD1</w:t>
            </w:r>
            <w:r w:rsidRPr="00A83316">
              <w:t xml:space="preserve"> – County Town focused growth. This will see most development occur in the Ipswich fringe area and larger towns and provide opportunities for these areas to regenerate, whilst other areas will benefit from these improved centres. </w:t>
            </w:r>
          </w:p>
        </w:tc>
        <w:tc>
          <w:tcPr>
            <w:tcW w:w="4242" w:type="dxa"/>
          </w:tcPr>
          <w:p w14:paraId="7507B23C" w14:textId="77777777" w:rsidR="00447576" w:rsidRPr="00A83316" w:rsidRDefault="00447576" w:rsidP="00F05BB8">
            <w:r>
              <w:t>5</w:t>
            </w:r>
            <w:r w:rsidRPr="00A83316">
              <w:t>%</w:t>
            </w:r>
          </w:p>
        </w:tc>
      </w:tr>
      <w:tr w:rsidR="00447576" w:rsidRPr="00A83316" w14:paraId="38632628" w14:textId="77777777" w:rsidTr="00F05BB8">
        <w:tc>
          <w:tcPr>
            <w:tcW w:w="4415" w:type="dxa"/>
          </w:tcPr>
          <w:p w14:paraId="130532D7" w14:textId="77777777" w:rsidR="00447576" w:rsidRPr="00A83316" w:rsidRDefault="00447576" w:rsidP="00F05BB8">
            <w:r>
              <w:rPr>
                <w:b/>
              </w:rPr>
              <w:t>Option B</w:t>
            </w:r>
            <w:r w:rsidRPr="00A83316">
              <w:rPr>
                <w:b/>
              </w:rPr>
              <w:t>HD2</w:t>
            </w:r>
            <w:r w:rsidRPr="00A83316">
              <w:t xml:space="preserve"> – Market Town/rural area balance. A mix of urban and rural development is seen as most sustainable, and has been historically been the growth pattern in the district. </w:t>
            </w:r>
          </w:p>
        </w:tc>
        <w:tc>
          <w:tcPr>
            <w:tcW w:w="4242" w:type="dxa"/>
          </w:tcPr>
          <w:p w14:paraId="497C15F5" w14:textId="77777777" w:rsidR="00447576" w:rsidRPr="00A83316" w:rsidRDefault="00447576" w:rsidP="00F05BB8">
            <w:r>
              <w:t>15</w:t>
            </w:r>
            <w:r w:rsidRPr="00A83316">
              <w:t>%</w:t>
            </w:r>
          </w:p>
        </w:tc>
      </w:tr>
      <w:tr w:rsidR="00447576" w:rsidRPr="00A83316" w14:paraId="21951531" w14:textId="77777777" w:rsidTr="00F05BB8">
        <w:tc>
          <w:tcPr>
            <w:tcW w:w="4415" w:type="dxa"/>
          </w:tcPr>
          <w:p w14:paraId="4EBB9151" w14:textId="77777777" w:rsidR="00447576" w:rsidRPr="00A83316" w:rsidRDefault="00447576" w:rsidP="00F05BB8">
            <w:r>
              <w:rPr>
                <w:b/>
              </w:rPr>
              <w:t>Option B</w:t>
            </w:r>
            <w:r w:rsidRPr="00A83316">
              <w:rPr>
                <w:b/>
              </w:rPr>
              <w:t>HD3</w:t>
            </w:r>
            <w:r w:rsidRPr="00A83316">
              <w:t xml:space="preserve"> – Transport Corridor focused – Sustainable development should be achieved by exploiting existing transport connections that enable access to facilities and services across the district and beyond. </w:t>
            </w:r>
          </w:p>
        </w:tc>
        <w:tc>
          <w:tcPr>
            <w:tcW w:w="4242" w:type="dxa"/>
          </w:tcPr>
          <w:p w14:paraId="0CC2A087" w14:textId="77777777" w:rsidR="00447576" w:rsidRPr="00A83316" w:rsidRDefault="00447576" w:rsidP="00F05BB8">
            <w:r>
              <w:t>10</w:t>
            </w:r>
            <w:r w:rsidRPr="00A83316">
              <w:t>%</w:t>
            </w:r>
          </w:p>
        </w:tc>
      </w:tr>
      <w:tr w:rsidR="00447576" w:rsidRPr="00A83316" w14:paraId="4A954E65" w14:textId="77777777" w:rsidTr="00F05BB8">
        <w:tc>
          <w:tcPr>
            <w:tcW w:w="4415" w:type="dxa"/>
          </w:tcPr>
          <w:p w14:paraId="6F5AAA7A" w14:textId="77777777" w:rsidR="00447576" w:rsidRPr="00A83316" w:rsidRDefault="00447576" w:rsidP="00F05BB8">
            <w:r>
              <w:rPr>
                <w:b/>
              </w:rPr>
              <w:t>Option B</w:t>
            </w:r>
            <w:r w:rsidRPr="00A83316">
              <w:rPr>
                <w:b/>
              </w:rPr>
              <w:t>HD4</w:t>
            </w:r>
            <w:r w:rsidRPr="00A83316">
              <w:t xml:space="preserve"> – New Settlement focused – Rather than to expand existing settlements, this option would be to create new, stand-alone settlements. </w:t>
            </w:r>
          </w:p>
        </w:tc>
        <w:tc>
          <w:tcPr>
            <w:tcW w:w="4242" w:type="dxa"/>
          </w:tcPr>
          <w:p w14:paraId="044AF493" w14:textId="77777777" w:rsidR="00447576" w:rsidRPr="00A83316" w:rsidRDefault="00447576" w:rsidP="00F05BB8">
            <w:r>
              <w:t>5</w:t>
            </w:r>
            <w:r w:rsidRPr="00A83316">
              <w:t>%</w:t>
            </w:r>
          </w:p>
        </w:tc>
      </w:tr>
    </w:tbl>
    <w:p w14:paraId="5CED4BDC" w14:textId="77777777" w:rsidR="00447576" w:rsidRPr="00A83316" w:rsidRDefault="00447576" w:rsidP="00447576">
      <w:pPr>
        <w:tabs>
          <w:tab w:val="clear" w:pos="284"/>
        </w:tabs>
        <w:spacing w:after="120"/>
        <w:ind w:left="425"/>
        <w:rPr>
          <w:i/>
        </w:rPr>
      </w:pPr>
      <w:r w:rsidRPr="00A83316">
        <w:rPr>
          <w:i/>
        </w:rPr>
        <w:t>Source: Babergh &amp; Mid Suffolk Joint Local Plan: Consultation Draft – August 2017, p.29-32</w:t>
      </w:r>
    </w:p>
    <w:bookmarkEnd w:id="44"/>
    <w:p w14:paraId="1E1D5E52" w14:textId="77777777" w:rsidR="00447576" w:rsidRDefault="00447576">
      <w:pPr>
        <w:tabs>
          <w:tab w:val="clear" w:pos="284"/>
        </w:tabs>
        <w:spacing w:line="240" w:lineRule="auto"/>
        <w:rPr>
          <w:rFonts w:asciiTheme="majorHAnsi" w:eastAsiaTheme="majorEastAsia" w:hAnsiTheme="majorHAnsi" w:cstheme="majorBidi"/>
          <w:b/>
          <w:bCs/>
          <w:color w:val="00B5E2" w:themeColor="accent1"/>
          <w:sz w:val="30"/>
          <w:szCs w:val="28"/>
          <w:lang w:val="en-US"/>
        </w:rPr>
      </w:pPr>
      <w:r>
        <w:rPr>
          <w:lang w:val="en-US"/>
        </w:rPr>
        <w:br w:type="page"/>
      </w:r>
    </w:p>
    <w:p w14:paraId="47B34614" w14:textId="5C680890" w:rsidR="00B90B1C" w:rsidRPr="003A2EED" w:rsidRDefault="00E80CC8" w:rsidP="00B90B1C">
      <w:pPr>
        <w:pStyle w:val="Heading1"/>
        <w:rPr>
          <w:lang w:val="en-US"/>
        </w:rPr>
      </w:pPr>
      <w:bookmarkStart w:id="47" w:name="_Toc7789711"/>
      <w:r w:rsidRPr="00E80CC8">
        <w:rPr>
          <w:lang w:val="en-US"/>
        </w:rPr>
        <w:lastRenderedPageBreak/>
        <w:t>Approach</w:t>
      </w:r>
      <w:bookmarkEnd w:id="37"/>
      <w:bookmarkEnd w:id="38"/>
      <w:bookmarkEnd w:id="47"/>
    </w:p>
    <w:p w14:paraId="2DCF3401" w14:textId="55200384" w:rsidR="004F6699" w:rsidRDefault="00AC6AAF" w:rsidP="004F6699">
      <w:pPr>
        <w:pStyle w:val="ListNumber"/>
        <w:widowControl w:val="0"/>
        <w:jc w:val="both"/>
        <w:rPr>
          <w:lang w:val="en-GB"/>
        </w:rPr>
      </w:pPr>
      <w:r w:rsidRPr="00E26B00">
        <w:rPr>
          <w:rFonts w:eastAsia="Times New Roman"/>
          <w:bCs/>
          <w:iCs/>
        </w:rPr>
        <w:t>Below we set out the research questions relevant to this study, as discussed and agreed with</w:t>
      </w:r>
      <w:r>
        <w:rPr>
          <w:rFonts w:eastAsia="Times New Roman"/>
          <w:bCs/>
          <w:iCs/>
        </w:rPr>
        <w:t xml:space="preserve"> CWPC</w:t>
      </w:r>
      <w:r w:rsidRPr="00E26B00">
        <w:rPr>
          <w:rFonts w:eastAsia="Times New Roman"/>
          <w:bCs/>
          <w:iCs/>
        </w:rPr>
        <w:t xml:space="preserve">. </w:t>
      </w:r>
      <w:r w:rsidRPr="00E26B00">
        <w:t>Research Questions, abbreviated to ‘RQ’</w:t>
      </w:r>
      <w:r>
        <w:t>,</w:t>
      </w:r>
      <w:r w:rsidRPr="00E26B00">
        <w:t xml:space="preserve"> are </w:t>
      </w:r>
      <w:r w:rsidR="00CF0606">
        <w:t>determined at</w:t>
      </w:r>
      <w:r w:rsidRPr="00E26B00">
        <w:t xml:space="preserve"> the start of the project through discussion with the parish.</w:t>
      </w:r>
      <w:r w:rsidR="004F6699" w:rsidRPr="004F6699">
        <w:rPr>
          <w:lang w:val="en-GB"/>
        </w:rPr>
        <w:t xml:space="preserve"> </w:t>
      </w:r>
      <w:r w:rsidR="004F6699" w:rsidRPr="00284BD9">
        <w:rPr>
          <w:lang w:val="en-GB"/>
        </w:rPr>
        <w:t xml:space="preserve">They serve to direct our research </w:t>
      </w:r>
      <w:r w:rsidR="004F6699">
        <w:rPr>
          <w:lang w:val="en-GB"/>
        </w:rPr>
        <w:t xml:space="preserve">into the key neighbourhood-level issues </w:t>
      </w:r>
      <w:r w:rsidR="004F6699" w:rsidRPr="00284BD9">
        <w:rPr>
          <w:lang w:val="en-GB"/>
        </w:rPr>
        <w:t>and provide the structure for the Housing Needs Assessment.</w:t>
      </w:r>
    </w:p>
    <w:p w14:paraId="6D92FE46" w14:textId="3B31A42A" w:rsidR="00F66651" w:rsidRDefault="00F66651" w:rsidP="00D56987">
      <w:pPr>
        <w:pStyle w:val="Heading3"/>
        <w:jc w:val="both"/>
      </w:pPr>
      <w:bookmarkStart w:id="48" w:name="_Toc7789712"/>
      <w:r w:rsidRPr="00D56987">
        <w:t>Quantity</w:t>
      </w:r>
      <w:bookmarkEnd w:id="48"/>
    </w:p>
    <w:p w14:paraId="0EF6D916" w14:textId="73901EAE" w:rsidR="00F66651" w:rsidRDefault="00F66651" w:rsidP="00342002">
      <w:pPr>
        <w:pStyle w:val="ListNumber"/>
        <w:widowControl w:val="0"/>
        <w:jc w:val="both"/>
      </w:pPr>
      <w:r>
        <w:t>Given the fact that the adopted Babergh Core Strategy sets a target for all Hinterland villages, and Copdock and Washbrook is just one parish within this larger set, there is no specific Local Plan housing target for the parish at present. Additionally, the Core Strategy was adopted before the Government’s new Standard Method for assessing housing quantity to plan for was developed, and the Standard Method can now be considered to supersede the Core Strategy approach, as it will have to be used in the emerging Joint Local Plan.</w:t>
      </w:r>
    </w:p>
    <w:p w14:paraId="2C7A86BF" w14:textId="7AF5FC7B" w:rsidR="00F66651" w:rsidRPr="00D56987" w:rsidRDefault="00F66651" w:rsidP="00342002">
      <w:pPr>
        <w:pStyle w:val="ListNumber"/>
        <w:widowControl w:val="0"/>
        <w:jc w:val="both"/>
      </w:pPr>
      <w:r>
        <w:t>In this context, it is appropriate to formulate an estimate of the amount of housing Copdock and Washbrook needs to plan for over its Neighbourhood Plan period.</w:t>
      </w:r>
    </w:p>
    <w:p w14:paraId="7C54B031" w14:textId="153090CE" w:rsidR="00AC6AAF" w:rsidRDefault="00AC6AAF" w:rsidP="00AC6AAF">
      <w:pPr>
        <w:pStyle w:val="ListNumber"/>
        <w:numPr>
          <w:ilvl w:val="0"/>
          <w:numId w:val="0"/>
        </w:numPr>
        <w:ind w:left="426"/>
        <w:jc w:val="both"/>
        <w:rPr>
          <w:rFonts w:eastAsia="Times New Roman"/>
          <w:b/>
          <w:bCs/>
          <w:i/>
          <w:iCs/>
          <w:szCs w:val="26"/>
        </w:rPr>
      </w:pPr>
      <w:r w:rsidRPr="00C05880">
        <w:rPr>
          <w:rFonts w:eastAsia="Times New Roman"/>
          <w:b/>
          <w:bCs/>
          <w:i/>
          <w:iCs/>
          <w:szCs w:val="26"/>
        </w:rPr>
        <w:t>RQ1: What quantity of Housing in the NA is appropriate over the Plan period 2018 - 203</w:t>
      </w:r>
      <w:r>
        <w:rPr>
          <w:rFonts w:eastAsia="Times New Roman"/>
          <w:b/>
          <w:bCs/>
          <w:i/>
          <w:iCs/>
          <w:szCs w:val="26"/>
        </w:rPr>
        <w:t>6</w:t>
      </w:r>
      <w:r w:rsidRPr="00C05880">
        <w:rPr>
          <w:rFonts w:eastAsia="Times New Roman"/>
          <w:b/>
          <w:bCs/>
          <w:i/>
          <w:iCs/>
          <w:szCs w:val="26"/>
        </w:rPr>
        <w:t>?</w:t>
      </w:r>
    </w:p>
    <w:p w14:paraId="7A73A5E9" w14:textId="41B0E6DD" w:rsidR="00F66651" w:rsidRDefault="00F66651" w:rsidP="00D56987">
      <w:pPr>
        <w:pStyle w:val="Heading3"/>
        <w:jc w:val="both"/>
      </w:pPr>
      <w:bookmarkStart w:id="49" w:name="_Toc7789713"/>
      <w:r w:rsidRPr="00D56987">
        <w:t>Type and size</w:t>
      </w:r>
      <w:bookmarkEnd w:id="49"/>
    </w:p>
    <w:p w14:paraId="02506BE8" w14:textId="0519A964" w:rsidR="00342002" w:rsidRDefault="00342002" w:rsidP="00D56987">
      <w:pPr>
        <w:pStyle w:val="ListNumber"/>
        <w:widowControl w:val="0"/>
        <w:jc w:val="both"/>
      </w:pPr>
      <w:r>
        <w:t xml:space="preserve">CWPC is seeking to determine what size and type of housing would be best suited to the local community. From the group’s perspective, new housing within the neighbourhood area should be appropriate for different stages of life: from newly forming households, to families, to ageing population and households wishing to downsize. </w:t>
      </w:r>
    </w:p>
    <w:p w14:paraId="49E403E1" w14:textId="772BC750" w:rsidR="00F66651" w:rsidRPr="00D56987" w:rsidRDefault="00342002" w:rsidP="00D56987">
      <w:pPr>
        <w:pStyle w:val="ListNumber"/>
        <w:widowControl w:val="0"/>
        <w:jc w:val="both"/>
      </w:pPr>
      <w:r>
        <w:t>The aim of this research question is to provide the Parish with robust evidence on the types and sizes needed by the local community. This will ensure future development truly reflects what the residents need.</w:t>
      </w:r>
    </w:p>
    <w:p w14:paraId="57F8429B" w14:textId="77777777" w:rsidR="00AC6AAF" w:rsidRPr="00C05880" w:rsidRDefault="00AC6AAF" w:rsidP="00AC6AAF">
      <w:pPr>
        <w:pStyle w:val="ListNumber"/>
        <w:numPr>
          <w:ilvl w:val="0"/>
          <w:numId w:val="0"/>
        </w:numPr>
        <w:ind w:left="426"/>
        <w:jc w:val="both"/>
        <w:rPr>
          <w:rFonts w:eastAsia="Times New Roman"/>
          <w:b/>
          <w:bCs/>
          <w:i/>
          <w:iCs/>
          <w:szCs w:val="26"/>
        </w:rPr>
      </w:pPr>
      <w:r w:rsidRPr="00C05880">
        <w:rPr>
          <w:b/>
          <w:i/>
        </w:rPr>
        <w:t>RQ2: What type (terrace, semi, bungalows, flats and detached) and size (number of habitable rooms) of housing is best suited to meet local needs?</w:t>
      </w:r>
    </w:p>
    <w:p w14:paraId="6A20296B" w14:textId="77777777" w:rsidR="00AC6AAF" w:rsidRPr="00E858D8" w:rsidRDefault="00AC6AAF" w:rsidP="00AC6AAF">
      <w:pPr>
        <w:pStyle w:val="Heading2"/>
        <w:ind w:left="851"/>
        <w:jc w:val="both"/>
        <w:rPr>
          <w:lang w:val="en-US"/>
        </w:rPr>
      </w:pPr>
      <w:bookmarkStart w:id="50" w:name="_Toc7009759"/>
      <w:bookmarkStart w:id="51" w:name="_Toc7379589"/>
      <w:bookmarkStart w:id="52" w:name="_Toc7618074"/>
      <w:bookmarkStart w:id="53" w:name="_Toc7789714"/>
      <w:r w:rsidRPr="00E858D8">
        <w:rPr>
          <w:lang w:val="en-US"/>
        </w:rPr>
        <w:t>Relevant Data</w:t>
      </w:r>
      <w:bookmarkEnd w:id="50"/>
      <w:bookmarkEnd w:id="51"/>
      <w:bookmarkEnd w:id="52"/>
      <w:bookmarkEnd w:id="53"/>
    </w:p>
    <w:p w14:paraId="6EE1EA66" w14:textId="77777777" w:rsidR="00AC6AAF" w:rsidRDefault="00AC6AAF" w:rsidP="00AC6AAF">
      <w:pPr>
        <w:pStyle w:val="Heading3"/>
        <w:jc w:val="both"/>
      </w:pPr>
      <w:bookmarkStart w:id="54" w:name="_Toc533017412"/>
      <w:bookmarkStart w:id="55" w:name="_Toc7009760"/>
      <w:bookmarkStart w:id="56" w:name="_Toc7379590"/>
      <w:bookmarkStart w:id="57" w:name="_Toc7618075"/>
      <w:bookmarkStart w:id="58" w:name="_Toc7789715"/>
      <w:r w:rsidRPr="00E26B00">
        <w:t>Local Authority evidence base</w:t>
      </w:r>
      <w:bookmarkEnd w:id="54"/>
      <w:bookmarkEnd w:id="55"/>
      <w:bookmarkEnd w:id="56"/>
      <w:bookmarkEnd w:id="57"/>
      <w:bookmarkEnd w:id="58"/>
    </w:p>
    <w:p w14:paraId="5B03FEDF" w14:textId="52EC990A" w:rsidR="004616EE" w:rsidRPr="00D56987" w:rsidRDefault="00AC6AAF" w:rsidP="00D56987">
      <w:pPr>
        <w:pStyle w:val="ListNumber"/>
      </w:pPr>
      <w:r w:rsidRPr="0018427F">
        <w:t xml:space="preserve">The PPG states that those </w:t>
      </w:r>
      <w:r w:rsidR="00342002">
        <w:t>developing</w:t>
      </w:r>
      <w:r w:rsidRPr="0018427F">
        <w:t xml:space="preserve"> Neighbourhood Plans can refer to existing needs assessments prepared by the local planning authority as a starting </w:t>
      </w:r>
      <w:r w:rsidRPr="0018427F">
        <w:rPr>
          <w:color w:val="000000"/>
        </w:rPr>
        <w:t xml:space="preserve">point. As </w:t>
      </w:r>
      <w:r>
        <w:rPr>
          <w:color w:val="000000"/>
        </w:rPr>
        <w:t xml:space="preserve">Copdock </w:t>
      </w:r>
      <w:r w:rsidRPr="0018427F">
        <w:rPr>
          <w:color w:val="000000"/>
        </w:rPr>
        <w:t xml:space="preserve">is in </w:t>
      </w:r>
      <w:r>
        <w:rPr>
          <w:color w:val="000000"/>
        </w:rPr>
        <w:t>Babergh</w:t>
      </w:r>
      <w:r w:rsidRPr="0018427F">
        <w:t xml:space="preserve">, </w:t>
      </w:r>
      <w:r w:rsidR="004616EE" w:rsidRPr="004616EE">
        <w:rPr>
          <w:rFonts w:cs="Arial"/>
          <w:color w:val="000000" w:themeColor="text1"/>
        </w:rPr>
        <w:t xml:space="preserve">this evidence base comprises the following </w:t>
      </w:r>
      <w:r w:rsidR="004616EE">
        <w:rPr>
          <w:rFonts w:cs="Arial"/>
          <w:color w:val="000000" w:themeColor="text1"/>
        </w:rPr>
        <w:t xml:space="preserve">Strategic Housing Market Assessment (SHMA) </w:t>
      </w:r>
      <w:r w:rsidR="004616EE" w:rsidRPr="004616EE">
        <w:rPr>
          <w:rFonts w:cs="Arial"/>
          <w:color w:val="000000" w:themeColor="text1"/>
        </w:rPr>
        <w:t xml:space="preserve">documents: </w:t>
      </w:r>
    </w:p>
    <w:p w14:paraId="435586BB" w14:textId="77777777" w:rsidR="004616EE" w:rsidRDefault="004616EE" w:rsidP="004616EE">
      <w:pPr>
        <w:pStyle w:val="ListBullet"/>
        <w:tabs>
          <w:tab w:val="clear" w:pos="850"/>
          <w:tab w:val="num" w:pos="1145"/>
        </w:tabs>
        <w:ind w:left="1145"/>
        <w:jc w:val="both"/>
      </w:pPr>
      <w:r>
        <w:t>The Ipswich and Waveney Housing Market Areas Strategic Housing Market Assessment (SHMA) Part One (May 2017)</w:t>
      </w:r>
      <w:r>
        <w:rPr>
          <w:rStyle w:val="FootnoteReference"/>
        </w:rPr>
        <w:footnoteReference w:id="1"/>
      </w:r>
      <w:r>
        <w:t>;</w:t>
      </w:r>
    </w:p>
    <w:p w14:paraId="431E85FB" w14:textId="77777777" w:rsidR="004616EE" w:rsidRDefault="004616EE" w:rsidP="004616EE">
      <w:pPr>
        <w:pStyle w:val="ListBullet"/>
        <w:tabs>
          <w:tab w:val="clear" w:pos="850"/>
          <w:tab w:val="num" w:pos="1145"/>
        </w:tabs>
        <w:ind w:left="1145"/>
        <w:jc w:val="both"/>
      </w:pPr>
      <w:r>
        <w:t>The Ipswich and Waveney Housing Market Areas SHMA Part 2 (September 2017)</w:t>
      </w:r>
      <w:r>
        <w:rPr>
          <w:rStyle w:val="FootnoteReference"/>
        </w:rPr>
        <w:footnoteReference w:id="2"/>
      </w:r>
      <w:r>
        <w:t xml:space="preserve">; and </w:t>
      </w:r>
    </w:p>
    <w:p w14:paraId="0506C40E" w14:textId="77777777" w:rsidR="004616EE" w:rsidRPr="00CE7806" w:rsidRDefault="004616EE" w:rsidP="004616EE">
      <w:pPr>
        <w:pStyle w:val="ListBullet"/>
        <w:tabs>
          <w:tab w:val="clear" w:pos="850"/>
          <w:tab w:val="num" w:pos="1145"/>
        </w:tabs>
        <w:ind w:left="1145"/>
        <w:jc w:val="both"/>
      </w:pPr>
      <w:r>
        <w:t>a SHMA Part II Partial Update (January 2019)</w:t>
      </w:r>
      <w:r>
        <w:rPr>
          <w:rStyle w:val="FootnoteReference"/>
        </w:rPr>
        <w:footnoteReference w:id="3"/>
      </w:r>
      <w:r>
        <w:t>.</w:t>
      </w:r>
    </w:p>
    <w:p w14:paraId="0107F35A" w14:textId="04E2CE6D" w:rsidR="00AC6AAF" w:rsidRPr="00D56987" w:rsidRDefault="004616EE" w:rsidP="00D56987">
      <w:pPr>
        <w:pStyle w:val="ListNumber"/>
        <w:jc w:val="both"/>
        <w:rPr>
          <w:rFonts w:cs="Arial"/>
          <w:color w:val="000000" w:themeColor="text1"/>
        </w:rPr>
      </w:pPr>
      <w:r w:rsidRPr="00C52B8E">
        <w:rPr>
          <w:rFonts w:cs="Arial"/>
          <w:color w:val="000000" w:themeColor="text1"/>
        </w:rPr>
        <w:t xml:space="preserve">These documents address the relevant geography and inform emerging housing policies at a local authority level, including affordable housing policy. An initial review, however, showed that the SHMA Part 1 is relevant only in terms of establishing the Objectively Assessed Need (OAN) for housing across the district as a whole, and as such is not relevant for </w:t>
      </w:r>
      <w:r>
        <w:rPr>
          <w:rFonts w:cs="Arial"/>
          <w:color w:val="000000" w:themeColor="text1"/>
        </w:rPr>
        <w:t>the quantity RQ because it employs a superseded methodology</w:t>
      </w:r>
      <w:r w:rsidRPr="00C52B8E">
        <w:rPr>
          <w:rFonts w:cs="Arial"/>
          <w:color w:val="000000" w:themeColor="text1"/>
        </w:rPr>
        <w:t xml:space="preserve">. </w:t>
      </w:r>
    </w:p>
    <w:p w14:paraId="26FE90D6" w14:textId="26467206" w:rsidR="00342002" w:rsidRPr="00342002" w:rsidRDefault="00342002" w:rsidP="00342002">
      <w:pPr>
        <w:pStyle w:val="ListNumber"/>
        <w:ind w:left="426"/>
        <w:jc w:val="both"/>
      </w:pPr>
      <w:r>
        <w:rPr>
          <w:rFonts w:cs="Arial"/>
        </w:rPr>
        <w:t xml:space="preserve">Alongside the SHMA documents, </w:t>
      </w:r>
      <w:r>
        <w:t>w</w:t>
      </w:r>
      <w:r w:rsidR="004F6699" w:rsidRPr="00DF2431">
        <w:t xml:space="preserve">e have also considered data from the 2001 and 2011 Censuses, </w:t>
      </w:r>
      <w:r>
        <w:t xml:space="preserve">and </w:t>
      </w:r>
      <w:r w:rsidR="004F6699" w:rsidRPr="00DF2431">
        <w:t>up-to-date population and household projections and estimates produced by the ONS</w:t>
      </w:r>
      <w:r w:rsidR="004F6699">
        <w:t xml:space="preserve">. </w:t>
      </w:r>
      <w:r w:rsidR="004F6699" w:rsidRPr="00DF2431">
        <w:t xml:space="preserve">All these sources of data </w:t>
      </w:r>
      <w:r>
        <w:t xml:space="preserve">are </w:t>
      </w:r>
      <w:r w:rsidR="004F6699" w:rsidRPr="00DF2431">
        <w:t xml:space="preserve">publicly accessible, </w:t>
      </w:r>
      <w:r>
        <w:t xml:space="preserve">and </w:t>
      </w:r>
      <w:r w:rsidRPr="0018427F">
        <w:rPr>
          <w:rFonts w:cs="Arial"/>
        </w:rPr>
        <w:t xml:space="preserve">provide a </w:t>
      </w:r>
      <w:r>
        <w:rPr>
          <w:rFonts w:cs="Arial"/>
        </w:rPr>
        <w:t xml:space="preserve">strong </w:t>
      </w:r>
      <w:r w:rsidRPr="0018427F">
        <w:rPr>
          <w:rFonts w:cs="Arial"/>
        </w:rPr>
        <w:t xml:space="preserve">starting point for policy development that aims to build on and add local specificity to </w:t>
      </w:r>
      <w:r>
        <w:rPr>
          <w:rFonts w:cs="Arial"/>
        </w:rPr>
        <w:t>the Babergh-level evidence base</w:t>
      </w:r>
      <w:r w:rsidRPr="0018427F">
        <w:rPr>
          <w:rFonts w:cs="Arial"/>
        </w:rPr>
        <w:t xml:space="preserve"> </w:t>
      </w:r>
      <w:r>
        <w:rPr>
          <w:rFonts w:cs="Arial"/>
        </w:rPr>
        <w:t>and thus develop policies relevant to the specific needs of the parish.</w:t>
      </w:r>
    </w:p>
    <w:p w14:paraId="52BCA1DE" w14:textId="329694B5" w:rsidR="00520410" w:rsidRPr="00D56987" w:rsidRDefault="00520410" w:rsidP="00D56987">
      <w:pPr>
        <w:pStyle w:val="ListNumber"/>
        <w:numPr>
          <w:ilvl w:val="0"/>
          <w:numId w:val="0"/>
        </w:numPr>
        <w:ind w:left="426"/>
        <w:jc w:val="both"/>
      </w:pPr>
      <w:bookmarkStart w:id="59" w:name="_Toc425332018"/>
      <w:r>
        <w:br w:type="page"/>
      </w:r>
    </w:p>
    <w:p w14:paraId="4300324E" w14:textId="55D3B9C5" w:rsidR="009B55A6" w:rsidRPr="00520410" w:rsidRDefault="00520410" w:rsidP="00520410">
      <w:pPr>
        <w:pStyle w:val="Heading1"/>
      </w:pPr>
      <w:bookmarkStart w:id="60" w:name="_Toc7789716"/>
      <w:r w:rsidRPr="00520410">
        <w:lastRenderedPageBreak/>
        <w:t>RQ1</w:t>
      </w:r>
      <w:r w:rsidR="00342002">
        <w:t>:</w:t>
      </w:r>
      <w:r w:rsidR="00EE1788" w:rsidRPr="00520410">
        <w:t xml:space="preserve"> </w:t>
      </w:r>
      <w:r w:rsidR="00853CC9" w:rsidRPr="00520410">
        <w:t>Quantity</w:t>
      </w:r>
      <w:bookmarkEnd w:id="60"/>
    </w:p>
    <w:p w14:paraId="2176AF0D" w14:textId="77777777" w:rsidR="00916CBC" w:rsidRDefault="00916CBC" w:rsidP="00916CBC">
      <w:pPr>
        <w:spacing w:after="120" w:line="276" w:lineRule="auto"/>
        <w:ind w:left="425"/>
        <w:rPr>
          <w:rFonts w:cs="Arial"/>
          <w:b/>
          <w:i/>
        </w:rPr>
      </w:pPr>
      <w:bookmarkStart w:id="61" w:name="_Toc506219759"/>
      <w:bookmarkStart w:id="62" w:name="_Toc486850626"/>
      <w:r w:rsidRPr="00D56987">
        <w:rPr>
          <w:rFonts w:cs="Arial"/>
          <w:b/>
          <w:i/>
        </w:rPr>
        <w:t>RQ1:</w:t>
      </w:r>
      <w:r w:rsidRPr="00D56987">
        <w:rPr>
          <w:rFonts w:eastAsia="Times New Roman" w:cs="Arial"/>
          <w:b/>
          <w:bCs/>
          <w:i/>
          <w:iCs/>
        </w:rPr>
        <w:t xml:space="preserve"> What quantity of Housing in the NA is appropriate over the Plan period 2018 - 2036?</w:t>
      </w:r>
      <w:bookmarkEnd w:id="61"/>
      <w:r w:rsidRPr="00D56987">
        <w:rPr>
          <w:rFonts w:cs="Arial"/>
          <w:b/>
          <w:i/>
        </w:rPr>
        <w:t xml:space="preserve"> </w:t>
      </w:r>
    </w:p>
    <w:p w14:paraId="10262178" w14:textId="21DEBC1B" w:rsidR="00342002" w:rsidRPr="00D56987" w:rsidRDefault="00342002" w:rsidP="00D56987">
      <w:pPr>
        <w:pStyle w:val="Heading3"/>
        <w:jc w:val="both"/>
        <w:rPr>
          <w:rFonts w:cs="Arial"/>
          <w:b/>
        </w:rPr>
      </w:pPr>
      <w:bookmarkStart w:id="63" w:name="_Toc7789717"/>
      <w:r w:rsidRPr="00D56987">
        <w:t>Introduction</w:t>
      </w:r>
      <w:bookmarkEnd w:id="63"/>
    </w:p>
    <w:p w14:paraId="61263959" w14:textId="77777777" w:rsidR="00916CBC" w:rsidRDefault="00916CBC" w:rsidP="00916CBC">
      <w:pPr>
        <w:pStyle w:val="ListNumber"/>
      </w:pPr>
      <w:r>
        <w:t>The NPPF (paragraph 65) states that strategic policy-making authorities “should establish a housing requirement figure for their whole area which shows the extent to which their identified housing need (and any needs that cannot be met within neighbouring areas) can be met over the plan period. Within this overall requirement, strategic policies should also set out a housing requirement for designated neighbourhood areas which reflects the overall strategy for the pattern and scale of development and any relevant allocations”.</w:t>
      </w:r>
    </w:p>
    <w:p w14:paraId="1272EAF2" w14:textId="77777777" w:rsidR="00916CBC" w:rsidRDefault="00916CBC" w:rsidP="00916CBC">
      <w:pPr>
        <w:pStyle w:val="ListNumber"/>
        <w:rPr>
          <w:rFonts w:cs="Arial"/>
        </w:rPr>
      </w:pPr>
      <w:r>
        <w:rPr>
          <w:rFonts w:cs="Arial"/>
        </w:rPr>
        <w:t>NPPF paragraph 66 states that “Where it is not possible to provide a requirement figure for a neighbourhood area</w:t>
      </w:r>
      <w:r>
        <w:rPr>
          <w:rStyle w:val="FootnoteReference"/>
        </w:rPr>
        <w:footnoteReference w:id="4"/>
      </w:r>
      <w:r>
        <w:rPr>
          <w:rFonts w:cs="Arial"/>
        </w:rPr>
        <w:t>, the local planning authority should provide an indicative figure, if requested to do so by the neighbourhood planning body”.  This ‘indicative’ figure should (amongst other things) “take into account factors such as the latest evidence of local housing need, the population of the neighbourhood area and the most recently available planning strategy of the planning authority.”</w:t>
      </w:r>
      <w:r>
        <w:rPr>
          <w:rFonts w:cs="Arial"/>
          <w:vertAlign w:val="superscript"/>
        </w:rPr>
        <w:footnoteReference w:id="5"/>
      </w:r>
    </w:p>
    <w:p w14:paraId="5DABF0B2" w14:textId="5A8ED1FF" w:rsidR="00916CBC" w:rsidRDefault="00916CBC" w:rsidP="00916CBC">
      <w:pPr>
        <w:pStyle w:val="ListNumber"/>
        <w:rPr>
          <w:rFonts w:cs="Arial"/>
        </w:rPr>
      </w:pPr>
      <w:r>
        <w:rPr>
          <w:rFonts w:cs="Arial"/>
        </w:rPr>
        <w:t xml:space="preserve">Given that no indicative housing requirement figure has been provided </w:t>
      </w:r>
      <w:r w:rsidR="00342002">
        <w:rPr>
          <w:rFonts w:cs="Arial"/>
        </w:rPr>
        <w:t xml:space="preserve">by Babergh </w:t>
      </w:r>
      <w:r>
        <w:rPr>
          <w:rFonts w:cs="Arial"/>
        </w:rPr>
        <w:t xml:space="preserve">to </w:t>
      </w:r>
      <w:r w:rsidR="00EC0ED4">
        <w:rPr>
          <w:rFonts w:cs="Arial"/>
        </w:rPr>
        <w:t>Copdock</w:t>
      </w:r>
      <w:r>
        <w:rPr>
          <w:rFonts w:cs="Arial"/>
        </w:rPr>
        <w:t xml:space="preserve"> </w:t>
      </w:r>
      <w:r w:rsidR="00342002">
        <w:rPr>
          <w:rFonts w:cs="Arial"/>
        </w:rPr>
        <w:t xml:space="preserve">and Washbrook </w:t>
      </w:r>
      <w:r>
        <w:rPr>
          <w:rFonts w:cs="Arial"/>
        </w:rPr>
        <w:t xml:space="preserve">there is a need to calculate an </w:t>
      </w:r>
      <w:r w:rsidR="00E82167">
        <w:rPr>
          <w:rFonts w:cs="Arial"/>
        </w:rPr>
        <w:t>indicative</w:t>
      </w:r>
      <w:r>
        <w:rPr>
          <w:rFonts w:cs="Arial"/>
        </w:rPr>
        <w:t xml:space="preserve"> Housing </w:t>
      </w:r>
      <w:r w:rsidR="00465696">
        <w:rPr>
          <w:rFonts w:cs="Arial"/>
        </w:rPr>
        <w:t xml:space="preserve">Requirement </w:t>
      </w:r>
      <w:r>
        <w:rPr>
          <w:rFonts w:cs="Arial"/>
        </w:rPr>
        <w:t>Figure (H</w:t>
      </w:r>
      <w:r w:rsidR="00465696">
        <w:rPr>
          <w:rFonts w:cs="Arial"/>
        </w:rPr>
        <w:t>R</w:t>
      </w:r>
      <w:r>
        <w:rPr>
          <w:rFonts w:cs="Arial"/>
        </w:rPr>
        <w:t>F) for the Neighbourhood Plan area. This can then be used as the starting point for further work to establish a policy-on Housing Requirement Figure.</w:t>
      </w:r>
    </w:p>
    <w:p w14:paraId="283DD201" w14:textId="77777777" w:rsidR="00916CBC" w:rsidRDefault="00916CBC" w:rsidP="00916CBC">
      <w:pPr>
        <w:pStyle w:val="ListNumber"/>
        <w:rPr>
          <w:rFonts w:cs="Arial"/>
        </w:rPr>
      </w:pPr>
      <w:r>
        <w:rPr>
          <w:rFonts w:cs="Arial"/>
        </w:rPr>
        <w:t>The Planning Practice Guidance</w:t>
      </w:r>
      <w:r>
        <w:rPr>
          <w:rStyle w:val="FootnoteReference"/>
        </w:rPr>
        <w:footnoteReference w:id="6"/>
      </w:r>
      <w:r>
        <w:rPr>
          <w:rFonts w:cs="Arial"/>
        </w:rPr>
        <w:t xml:space="preserve"> states “Housing need is an unconstrained assessment of the number of homes needed in an area. Assessing housing need is the first step in the process of deciding how many homes need to be planned for. It should be undertaken separately from assessing land availability, establishing a housing requirement figure and preparing policies to address this such as site allocations”.</w:t>
      </w:r>
    </w:p>
    <w:p w14:paraId="66AE3512" w14:textId="77777777" w:rsidR="00916CBC" w:rsidRDefault="00916CBC" w:rsidP="00916CBC">
      <w:pPr>
        <w:pStyle w:val="ListNumber"/>
        <w:rPr>
          <w:rFonts w:cs="Arial"/>
        </w:rPr>
      </w:pPr>
      <w:r>
        <w:rPr>
          <w:rFonts w:cs="Arial"/>
        </w:rPr>
        <w:t>A housing need figure is a policy-off figure. This means that, while it takes account of the factors set out paragraph 66 of the NPPF and dwelling completions over the course of the Plan period, it is an expression of total housing demand unconstrained by the limits of the land available to build on. It is also unconstrained by the impact of policies that either facilitate or obstruct development. A policy-off figure can then be reviewed in light of further evidence including environmental constraints, land availability, and relevant Local and Neighbourhood plan objectives and policies, to arrive at a policy-on Neighbourhood Planning housing requirement figure.</w:t>
      </w:r>
    </w:p>
    <w:p w14:paraId="0CD4F818" w14:textId="341B0066" w:rsidR="00E82167" w:rsidRDefault="00E82167" w:rsidP="00916CBC">
      <w:pPr>
        <w:pStyle w:val="ListNumber"/>
        <w:rPr>
          <w:rFonts w:cs="Arial"/>
        </w:rPr>
      </w:pPr>
      <w:r w:rsidRPr="00D56987">
        <w:rPr>
          <w:rFonts w:cs="Arial"/>
        </w:rPr>
        <w:t>In calculating this H</w:t>
      </w:r>
      <w:r w:rsidR="00465696">
        <w:rPr>
          <w:rFonts w:cs="Arial"/>
        </w:rPr>
        <w:t>R</w:t>
      </w:r>
      <w:r w:rsidRPr="00D56987">
        <w:rPr>
          <w:rFonts w:cs="Arial"/>
        </w:rPr>
        <w:t>F, it should be noted that</w:t>
      </w:r>
      <w:r>
        <w:rPr>
          <w:rFonts w:cs="Arial"/>
        </w:rPr>
        <w:t xml:space="preserve"> </w:t>
      </w:r>
      <w:r w:rsidRPr="00D56987">
        <w:rPr>
          <w:rFonts w:cs="Arial"/>
        </w:rPr>
        <w:t>paragraphs 65 and 66 place specific obliga</w:t>
      </w:r>
      <w:r w:rsidRPr="00E82167">
        <w:rPr>
          <w:rFonts w:cs="Arial"/>
        </w:rPr>
        <w:t>tions on</w:t>
      </w:r>
      <w:r>
        <w:rPr>
          <w:rFonts w:cs="Arial"/>
        </w:rPr>
        <w:t xml:space="preserve"> </w:t>
      </w:r>
      <w:r w:rsidRPr="00E82167">
        <w:rPr>
          <w:rFonts w:cs="Arial"/>
        </w:rPr>
        <w:t>strategic or</w:t>
      </w:r>
      <w:r>
        <w:rPr>
          <w:rFonts w:cs="Arial"/>
        </w:rPr>
        <w:t xml:space="preserve"> </w:t>
      </w:r>
      <w:r w:rsidRPr="00D56987">
        <w:rPr>
          <w:rFonts w:cs="Arial"/>
        </w:rPr>
        <w:t xml:space="preserve">local planning authorities and no other parties (i.e. AECOM is not obliged to follow directly paragraphs 65 and 66). Having said this, clearly AECOM’s calculation will be of most use as a starting point, both to the neighbourhood group and to the </w:t>
      </w:r>
      <w:r>
        <w:rPr>
          <w:rFonts w:cs="Arial"/>
        </w:rPr>
        <w:t>Local Planning Authority (</w:t>
      </w:r>
      <w:r w:rsidRPr="00D56987">
        <w:rPr>
          <w:rFonts w:cs="Arial"/>
        </w:rPr>
        <w:t>LPA</w:t>
      </w:r>
      <w:r>
        <w:rPr>
          <w:rFonts w:cs="Arial"/>
        </w:rPr>
        <w:t>)</w:t>
      </w:r>
      <w:r w:rsidRPr="00D56987">
        <w:rPr>
          <w:rFonts w:cs="Arial"/>
        </w:rPr>
        <w:t>, if it can seek to mirror the NPPF suggested approach as closely as possible, and so this is the reasonable approach that has been taken.</w:t>
      </w:r>
    </w:p>
    <w:p w14:paraId="4436E308" w14:textId="78E8C565" w:rsidR="00916CBC" w:rsidRDefault="00916CBC" w:rsidP="00916CBC">
      <w:pPr>
        <w:pStyle w:val="ListNumber"/>
        <w:rPr>
          <w:rFonts w:cs="Arial"/>
        </w:rPr>
      </w:pPr>
      <w:r>
        <w:rPr>
          <w:rFonts w:cs="Arial"/>
        </w:rPr>
        <w:t>We have estimated the number of new dwellings that should be sought in the NA over the Plan period (the H</w:t>
      </w:r>
      <w:r w:rsidR="00465696">
        <w:rPr>
          <w:rFonts w:cs="Arial"/>
        </w:rPr>
        <w:t>R</w:t>
      </w:r>
      <w:r>
        <w:rPr>
          <w:rFonts w:cs="Arial"/>
        </w:rPr>
        <w:t>F) using a four-step approach in accordance with the 2019 National Planning Policy Framework (NPPF) and Planning Practice Guidance (PPG). This is set out in the box below:</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657"/>
      </w:tblGrid>
      <w:tr w:rsidR="00916CBC" w14:paraId="5C55BE70" w14:textId="77777777" w:rsidTr="00613643">
        <w:tc>
          <w:tcPr>
            <w:tcW w:w="8657" w:type="dxa"/>
            <w:tcBorders>
              <w:top w:val="single" w:sz="4" w:space="0" w:color="auto"/>
              <w:left w:val="single" w:sz="4" w:space="0" w:color="auto"/>
              <w:bottom w:val="single" w:sz="4" w:space="0" w:color="auto"/>
              <w:right w:val="single" w:sz="4" w:space="0" w:color="auto"/>
            </w:tcBorders>
            <w:hideMark/>
          </w:tcPr>
          <w:p w14:paraId="08B08E8A" w14:textId="77777777" w:rsidR="00916CBC" w:rsidRDefault="00916CBC" w:rsidP="00613643">
            <w:pPr>
              <w:spacing w:after="120"/>
              <w:rPr>
                <w:rFonts w:cs="Arial"/>
                <w:b/>
              </w:rPr>
            </w:pPr>
            <w:r>
              <w:rPr>
                <w:rFonts w:cs="Arial"/>
                <w:b/>
              </w:rPr>
              <w:t>Step 1: “the population of the neighbourhood area”</w:t>
            </w:r>
          </w:p>
          <w:p w14:paraId="7858F56F" w14:textId="14E9B6E5" w:rsidR="00916CBC" w:rsidRDefault="00916CBC" w:rsidP="00613643">
            <w:pPr>
              <w:spacing w:after="120"/>
              <w:rPr>
                <w:rFonts w:cs="Arial"/>
                <w:color w:val="000000"/>
              </w:rPr>
            </w:pPr>
            <w:r>
              <w:rPr>
                <w:rFonts w:cs="Arial"/>
                <w:color w:val="000000"/>
              </w:rPr>
              <w:t>The H</w:t>
            </w:r>
            <w:r w:rsidR="00465696">
              <w:rPr>
                <w:rFonts w:cs="Arial"/>
                <w:color w:val="000000"/>
              </w:rPr>
              <w:t>R</w:t>
            </w:r>
            <w:r>
              <w:rPr>
                <w:rFonts w:cs="Arial"/>
                <w:color w:val="000000"/>
              </w:rPr>
              <w:t>F for the NA should take as its starting point the housing target for the Local Authority (L</w:t>
            </w:r>
            <w:r w:rsidR="00E82167">
              <w:rPr>
                <w:rFonts w:cs="Arial"/>
                <w:color w:val="000000"/>
              </w:rPr>
              <w:t>P</w:t>
            </w:r>
            <w:r>
              <w:rPr>
                <w:rFonts w:cs="Arial"/>
                <w:color w:val="000000"/>
              </w:rPr>
              <w:t xml:space="preserve">A) within which it sits. The baseline for our calculation for </w:t>
            </w:r>
            <w:r w:rsidR="00E82167">
              <w:rPr>
                <w:rFonts w:cs="Arial"/>
                <w:color w:val="000000"/>
              </w:rPr>
              <w:t xml:space="preserve">the </w:t>
            </w:r>
            <w:r>
              <w:rPr>
                <w:rFonts w:cs="Arial"/>
                <w:color w:val="000000"/>
              </w:rPr>
              <w:t>NA is therefore a share of the current L</w:t>
            </w:r>
            <w:r w:rsidR="00E82167">
              <w:rPr>
                <w:rFonts w:cs="Arial"/>
                <w:color w:val="000000"/>
              </w:rPr>
              <w:t>P</w:t>
            </w:r>
            <w:r>
              <w:rPr>
                <w:rFonts w:cs="Arial"/>
                <w:color w:val="000000"/>
              </w:rPr>
              <w:t>A Local Housing Need Assessment (LHNA) figure that reflects the share of the L</w:t>
            </w:r>
            <w:r w:rsidR="00E82167">
              <w:rPr>
                <w:rFonts w:cs="Arial"/>
                <w:color w:val="000000"/>
              </w:rPr>
              <w:t>P</w:t>
            </w:r>
            <w:r>
              <w:rPr>
                <w:rFonts w:cs="Arial"/>
                <w:color w:val="000000"/>
              </w:rPr>
              <w:t xml:space="preserve">A population living in the NA. </w:t>
            </w:r>
          </w:p>
          <w:p w14:paraId="07CC9119" w14:textId="651A24C3" w:rsidR="00916CBC" w:rsidRDefault="00916CBC" w:rsidP="00613643">
            <w:pPr>
              <w:spacing w:after="120"/>
              <w:rPr>
                <w:rFonts w:cs="Arial"/>
                <w:color w:val="000000"/>
              </w:rPr>
            </w:pPr>
            <w:r>
              <w:rPr>
                <w:rFonts w:cs="Arial"/>
                <w:color w:val="000000"/>
              </w:rPr>
              <w:t>The NPPF requires Local Authorities</w:t>
            </w:r>
            <w:r w:rsidR="00E82167">
              <w:rPr>
                <w:rFonts w:cs="Arial"/>
                <w:color w:val="000000"/>
              </w:rPr>
              <w:t xml:space="preserve"> </w:t>
            </w:r>
            <w:r>
              <w:rPr>
                <w:rFonts w:cs="Arial"/>
                <w:color w:val="000000"/>
              </w:rPr>
              <w:t>to use the standard method.</w:t>
            </w:r>
            <w:r>
              <w:rPr>
                <w:rFonts w:cs="Arial"/>
                <w:color w:val="000000"/>
                <w:sz w:val="16"/>
                <w:vertAlign w:val="superscript"/>
              </w:rPr>
              <w:footnoteReference w:id="7"/>
            </w:r>
            <w:r>
              <w:rPr>
                <w:rFonts w:cs="Arial"/>
                <w:color w:val="000000"/>
                <w:vertAlign w:val="superscript"/>
              </w:rPr>
              <w:t xml:space="preserve"> </w:t>
            </w:r>
            <w:r>
              <w:rPr>
                <w:rFonts w:cs="Arial"/>
                <w:color w:val="000000"/>
              </w:rPr>
              <w:t xml:space="preserve">This calculation takes the most recent MHCLG-approved household population projection for the District, applies to it an uplift based on the most recent ONS affordability ratio for that area, and then applies a cap to that number if certain conditions are met. </w:t>
            </w:r>
          </w:p>
          <w:p w14:paraId="4DE7239A" w14:textId="77777777" w:rsidR="00916CBC" w:rsidRDefault="00916CBC" w:rsidP="00613643">
            <w:pPr>
              <w:spacing w:after="120"/>
              <w:rPr>
                <w:rFonts w:cs="Arial"/>
                <w:b/>
              </w:rPr>
            </w:pPr>
            <w:r>
              <w:rPr>
                <w:rFonts w:cs="Arial"/>
                <w:b/>
              </w:rPr>
              <w:lastRenderedPageBreak/>
              <w:t>Step 2: “most recently available planning strategy of the planning authority”</w:t>
            </w:r>
          </w:p>
          <w:p w14:paraId="374DBBA3" w14:textId="3701482C" w:rsidR="00916CBC" w:rsidRDefault="00916CBC" w:rsidP="00613643">
            <w:pPr>
              <w:autoSpaceDE w:val="0"/>
              <w:autoSpaceDN w:val="0"/>
              <w:adjustRightInd w:val="0"/>
              <w:spacing w:after="120"/>
              <w:rPr>
                <w:rFonts w:cs="Arial"/>
              </w:rPr>
            </w:pPr>
            <w:r>
              <w:rPr>
                <w:rFonts w:cs="Arial"/>
              </w:rPr>
              <w:t xml:space="preserve">We then follow the guidance presented in the NPPF which states that the initial </w:t>
            </w:r>
            <w:r w:rsidR="00465696">
              <w:rPr>
                <w:rFonts w:cs="Arial"/>
              </w:rPr>
              <w:t>HRF</w:t>
            </w:r>
            <w:r>
              <w:rPr>
                <w:rFonts w:cs="Arial"/>
              </w:rPr>
              <w:t xml:space="preserve"> for neighbourhood plans should reflect “the overall strategy for the pattern and scale of development and any relevant allocations,”</w:t>
            </w:r>
            <w:r>
              <w:rPr>
                <w:rStyle w:val="FootnoteReference"/>
              </w:rPr>
              <w:footnoteReference w:id="8"/>
            </w:r>
            <w:r>
              <w:rPr>
                <w:rFonts w:cs="Arial"/>
              </w:rPr>
              <w:t xml:space="preserve"> and “the most recently available planning strategy of the local planning authority.”</w:t>
            </w:r>
            <w:r>
              <w:rPr>
                <w:rStyle w:val="FootnoteReference"/>
              </w:rPr>
              <w:footnoteReference w:id="9"/>
            </w:r>
            <w:r>
              <w:rPr>
                <w:rFonts w:cs="Arial"/>
              </w:rPr>
              <w:t xml:space="preserve"> </w:t>
            </w:r>
          </w:p>
          <w:p w14:paraId="3C243D3F" w14:textId="550CF4B0" w:rsidR="00916CBC" w:rsidRDefault="00916CBC" w:rsidP="00613643">
            <w:pPr>
              <w:autoSpaceDE w:val="0"/>
              <w:autoSpaceDN w:val="0"/>
              <w:adjustRightInd w:val="0"/>
              <w:spacing w:after="120"/>
              <w:rPr>
                <w:rFonts w:cs="Arial"/>
              </w:rPr>
            </w:pPr>
            <w:r>
              <w:rPr>
                <w:rFonts w:cs="Arial"/>
              </w:rPr>
              <w:t>This means introducing Local Authority spatial policy, housing targets, and assessments of housing need at different scales to arrive at a more locally appropriate proportion of the L</w:t>
            </w:r>
            <w:r w:rsidR="00E82167">
              <w:rPr>
                <w:rFonts w:cs="Arial"/>
              </w:rPr>
              <w:t>P</w:t>
            </w:r>
            <w:r>
              <w:rPr>
                <w:rFonts w:cs="Arial"/>
              </w:rPr>
              <w:t>A housing target that should be provided in the NA. This will often result in a slightly different figure to that produced in Step 1.</w:t>
            </w:r>
          </w:p>
          <w:p w14:paraId="554E7C57" w14:textId="77777777" w:rsidR="00916CBC" w:rsidRDefault="00916CBC" w:rsidP="00613643">
            <w:pPr>
              <w:spacing w:after="120"/>
              <w:rPr>
                <w:rFonts w:cs="Arial"/>
                <w:b/>
              </w:rPr>
            </w:pPr>
            <w:r>
              <w:rPr>
                <w:rFonts w:cs="Arial"/>
                <w:b/>
              </w:rPr>
              <w:t>Step 3: commitments and completions</w:t>
            </w:r>
          </w:p>
          <w:p w14:paraId="3F05095F" w14:textId="2E0F469E" w:rsidR="00916CBC" w:rsidRDefault="00916CBC" w:rsidP="00613643">
            <w:pPr>
              <w:spacing w:after="120"/>
              <w:rPr>
                <w:rFonts w:cs="Arial"/>
              </w:rPr>
            </w:pPr>
            <w:r>
              <w:rPr>
                <w:rFonts w:cs="Arial"/>
              </w:rPr>
              <w:t xml:space="preserve">Next, any dwellings that have already been completed over the Plan period to the present date, together with any extant commitments on sites in the NA, should be deducted from the total in order to provide a </w:t>
            </w:r>
            <w:r w:rsidR="00465696">
              <w:rPr>
                <w:rFonts w:cs="Arial"/>
              </w:rPr>
              <w:t>HRF</w:t>
            </w:r>
            <w:r>
              <w:rPr>
                <w:rFonts w:cs="Arial"/>
              </w:rPr>
              <w:t xml:space="preserve"> for the remainder of the Plan period and an annual </w:t>
            </w:r>
            <w:r w:rsidR="00465696">
              <w:rPr>
                <w:rFonts w:cs="Arial"/>
              </w:rPr>
              <w:t>HRF</w:t>
            </w:r>
            <w:r>
              <w:rPr>
                <w:rFonts w:cs="Arial"/>
              </w:rPr>
              <w:t xml:space="preserve"> that reflects past under- or over-delivery. </w:t>
            </w:r>
          </w:p>
          <w:p w14:paraId="3F454D57" w14:textId="77777777" w:rsidR="00916CBC" w:rsidRDefault="00916CBC" w:rsidP="00613643">
            <w:pPr>
              <w:spacing w:after="120"/>
              <w:rPr>
                <w:rFonts w:cs="Arial"/>
              </w:rPr>
            </w:pPr>
            <w:r>
              <w:rPr>
                <w:rFonts w:cs="Arial"/>
              </w:rPr>
              <w:t>Provided the data needed is available to us, we will also deduct a windfall allowance</w:t>
            </w:r>
            <w:r>
              <w:rPr>
                <w:rStyle w:val="FootnoteReference"/>
              </w:rPr>
              <w:footnoteReference w:id="10"/>
            </w:r>
            <w:r>
              <w:rPr>
                <w:rFonts w:cs="Arial"/>
              </w:rPr>
              <w:t xml:space="preserve"> given that dwellings that come forward in this way constitute a valid route to housing delivery, and may be taken into account in the way the NA proposes to fulfil its housing target so long as there has been a consistent record of such delivery in recent years.</w:t>
            </w:r>
            <w:r>
              <w:rPr>
                <w:rStyle w:val="FootnoteReference"/>
              </w:rPr>
              <w:t xml:space="preserve"> </w:t>
            </w:r>
            <w:r>
              <w:rPr>
                <w:rStyle w:val="FootnoteReference"/>
              </w:rPr>
              <w:footnoteReference w:id="11"/>
            </w:r>
          </w:p>
          <w:p w14:paraId="60B4D58D" w14:textId="77777777" w:rsidR="00916CBC" w:rsidRDefault="00916CBC" w:rsidP="00613643">
            <w:pPr>
              <w:spacing w:after="120"/>
              <w:rPr>
                <w:rFonts w:cs="Arial"/>
                <w:b/>
                <w:sz w:val="20"/>
              </w:rPr>
            </w:pPr>
            <w:r>
              <w:rPr>
                <w:rFonts w:cs="Arial"/>
                <w:b/>
              </w:rPr>
              <w:t>Step 4: the Local Authority</w:t>
            </w:r>
          </w:p>
          <w:p w14:paraId="14715EFD" w14:textId="04A75F46" w:rsidR="00916CBC" w:rsidRDefault="00916CBC" w:rsidP="00613643">
            <w:pPr>
              <w:spacing w:after="120"/>
              <w:rPr>
                <w:rFonts w:cs="Arial"/>
              </w:rPr>
            </w:pPr>
            <w:r>
              <w:rPr>
                <w:rFonts w:cs="Arial"/>
              </w:rPr>
              <w:t xml:space="preserve">The NPPF makes it clear that the Local Authority should provide housing numbers to designated neighbourhood planning areas within their district where requested to do so. To this extent, AECOM is performing a similar role to that required of the Local Authority in providing a </w:t>
            </w:r>
            <w:r w:rsidR="00465696">
              <w:rPr>
                <w:rFonts w:cs="Arial"/>
              </w:rPr>
              <w:t>HRF</w:t>
            </w:r>
            <w:r>
              <w:rPr>
                <w:rFonts w:cs="Arial"/>
              </w:rPr>
              <w:t xml:space="preserve"> to the NA. With this in mind, it is important the group share the </w:t>
            </w:r>
            <w:r w:rsidR="00465696">
              <w:rPr>
                <w:rFonts w:cs="Arial"/>
              </w:rPr>
              <w:t>HRF</w:t>
            </w:r>
            <w:r>
              <w:rPr>
                <w:rFonts w:cs="Arial"/>
              </w:rPr>
              <w:t xml:space="preserve"> and underlying methodology once they have received the final version of this document with the LPA to seek confirmation it is aligned with their current planning strategy, in particular those circumstances which may justify an uplift to the </w:t>
            </w:r>
            <w:r w:rsidR="00465696">
              <w:rPr>
                <w:rFonts w:cs="Arial"/>
              </w:rPr>
              <w:t>HRF</w:t>
            </w:r>
            <w:r>
              <w:rPr>
                <w:rFonts w:cs="Arial"/>
              </w:rPr>
              <w:t xml:space="preserve"> set out in PPG.</w:t>
            </w:r>
            <w:r>
              <w:rPr>
                <w:rStyle w:val="FootnoteReference"/>
              </w:rPr>
              <w:footnoteReference w:id="12"/>
            </w:r>
            <w:r>
              <w:rPr>
                <w:rFonts w:cs="Arial"/>
              </w:rPr>
              <w:t xml:space="preserve"> </w:t>
            </w:r>
          </w:p>
        </w:tc>
      </w:tr>
    </w:tbl>
    <w:p w14:paraId="6077C72C" w14:textId="77777777" w:rsidR="00916CBC" w:rsidRDefault="00916CBC" w:rsidP="00916CBC">
      <w:pPr>
        <w:spacing w:after="120" w:line="276" w:lineRule="auto"/>
        <w:ind w:left="425" w:hanging="425"/>
        <w:rPr>
          <w:rFonts w:ascii="Arial" w:hAnsi="Arial" w:cs="Arial"/>
        </w:rPr>
      </w:pPr>
    </w:p>
    <w:p w14:paraId="6E20BFD1" w14:textId="77777777" w:rsidR="00916CBC" w:rsidRDefault="00916CBC" w:rsidP="00916CBC">
      <w:pPr>
        <w:pStyle w:val="ListNumber"/>
        <w:rPr>
          <w:rFonts w:cs="Arial"/>
        </w:rPr>
      </w:pPr>
      <w:r>
        <w:rPr>
          <w:rFonts w:cs="Arial"/>
        </w:rPr>
        <w:t>Employing this methodology, the Housing Needs Figure for the Neighbourhood Area may be calculated as follows:</w:t>
      </w:r>
    </w:p>
    <w:p w14:paraId="796BB726" w14:textId="77777777" w:rsidR="00916CBC" w:rsidRDefault="00916CBC" w:rsidP="00CF0FBA">
      <w:pPr>
        <w:keepNext/>
        <w:keepLines/>
        <w:numPr>
          <w:ilvl w:val="1"/>
          <w:numId w:val="23"/>
        </w:numPr>
        <w:spacing w:before="240" w:after="180" w:line="264" w:lineRule="auto"/>
        <w:ind w:left="993"/>
        <w:outlineLvl w:val="1"/>
        <w:rPr>
          <w:rFonts w:eastAsia="Times New Roman" w:cs="Arial"/>
          <w:bCs/>
          <w:color w:val="00B5E2"/>
          <w:sz w:val="26"/>
          <w:szCs w:val="26"/>
        </w:rPr>
      </w:pPr>
      <w:bookmarkStart w:id="64" w:name="_Toc454416"/>
      <w:bookmarkStart w:id="65" w:name="_Toc5278212"/>
      <w:bookmarkStart w:id="66" w:name="_Toc5181829"/>
      <w:bookmarkStart w:id="67" w:name="_Toc7789718"/>
      <w:r>
        <w:rPr>
          <w:rFonts w:eastAsia="Times New Roman" w:cs="Arial"/>
          <w:bCs/>
          <w:color w:val="00B5E2"/>
          <w:sz w:val="26"/>
          <w:szCs w:val="26"/>
        </w:rPr>
        <w:t>Standard method</w:t>
      </w:r>
      <w:bookmarkEnd w:id="64"/>
      <w:r>
        <w:rPr>
          <w:rFonts w:eastAsia="Times New Roman" w:cs="Arial"/>
          <w:bCs/>
          <w:color w:val="00B5E2"/>
          <w:sz w:val="26"/>
          <w:szCs w:val="26"/>
        </w:rPr>
        <w:t xml:space="preserve"> (Step 1)</w:t>
      </w:r>
      <w:bookmarkEnd w:id="65"/>
      <w:bookmarkEnd w:id="66"/>
      <w:bookmarkEnd w:id="67"/>
    </w:p>
    <w:p w14:paraId="345E2152" w14:textId="7D56FC4E" w:rsidR="00916CBC" w:rsidRDefault="00916CBC" w:rsidP="00916CBC">
      <w:pPr>
        <w:pStyle w:val="ListNumber"/>
        <w:rPr>
          <w:rFonts w:eastAsia="Arial" w:cs="Arial"/>
        </w:rPr>
      </w:pPr>
      <w:r>
        <w:rPr>
          <w:rFonts w:cs="Arial"/>
        </w:rPr>
        <w:t xml:space="preserve">Firstly, we calculate the Local Housing Need (LHN) for the LPA using the standard method outlined in Planning Policy Guidance, before taking the population of the NA, and calculating the proportion of the total population of the District that it represents. This percentage will then be used to </w:t>
      </w:r>
      <w:r w:rsidR="00E82167">
        <w:rPr>
          <w:rFonts w:cs="Arial"/>
        </w:rPr>
        <w:t>determine</w:t>
      </w:r>
      <w:r>
        <w:rPr>
          <w:rFonts w:cs="Arial"/>
        </w:rPr>
        <w:t xml:space="preserve"> the share of the LA target that should be apportioned to the NA. </w:t>
      </w:r>
    </w:p>
    <w:p w14:paraId="1A310BA7" w14:textId="7689F098" w:rsidR="00916CBC" w:rsidRDefault="00916CBC" w:rsidP="00916CBC">
      <w:pPr>
        <w:pStyle w:val="ListNumber"/>
        <w:rPr>
          <w:rFonts w:cs="Arial"/>
        </w:rPr>
      </w:pPr>
      <w:bookmarkStart w:id="68" w:name="_Hlk536717341"/>
      <w:r>
        <w:rPr>
          <w:rFonts w:cs="Arial"/>
        </w:rPr>
        <w:t xml:space="preserve">The </w:t>
      </w:r>
      <w:r w:rsidR="00EC0ED4">
        <w:rPr>
          <w:rFonts w:cs="Arial"/>
        </w:rPr>
        <w:t>Babergh</w:t>
      </w:r>
      <w:r>
        <w:rPr>
          <w:rFonts w:cs="Arial"/>
        </w:rPr>
        <w:t xml:space="preserve"> LHN figure, using the standard method, is calculated as follows</w:t>
      </w:r>
      <w:r>
        <w:rPr>
          <w:rStyle w:val="FootnoteReference"/>
        </w:rPr>
        <w:footnoteReference w:id="13"/>
      </w:r>
      <w:r>
        <w:rPr>
          <w:rFonts w:cs="Arial"/>
        </w:rPr>
        <w:t>:</w:t>
      </w:r>
    </w:p>
    <w:p w14:paraId="6698B65F" w14:textId="77777777" w:rsidR="00916CBC" w:rsidRDefault="00916CBC" w:rsidP="00916CBC">
      <w:pPr>
        <w:pStyle w:val="ListNumber"/>
      </w:pPr>
      <w:r w:rsidRPr="00C334CC">
        <w:rPr>
          <w:b/>
        </w:rPr>
        <w:t>Step one</w:t>
      </w:r>
      <w:r>
        <w:t xml:space="preserve"> is to set the baseline, by calculating the projected average annual household growth in the District over a 10-year period, beginning with the current year, using the most recent ONS household projections.</w:t>
      </w:r>
    </w:p>
    <w:p w14:paraId="0B9936E7" w14:textId="4AC9F8F5" w:rsidR="00916CBC" w:rsidRPr="00EB3FFF" w:rsidRDefault="00A26AF7" w:rsidP="00916CBC">
      <w:pPr>
        <w:pStyle w:val="ListBullet"/>
        <w:tabs>
          <w:tab w:val="clear" w:pos="850"/>
          <w:tab w:val="num" w:pos="1145"/>
        </w:tabs>
        <w:ind w:left="1145"/>
      </w:pPr>
      <w:r>
        <w:t xml:space="preserve">According to </w:t>
      </w:r>
      <w:r w:rsidR="00EC0ED4">
        <w:t>Babergh</w:t>
      </w:r>
      <w:r w:rsidR="00916CBC">
        <w:t>’s 2014-based household projection</w:t>
      </w:r>
      <w:r w:rsidR="00916CBC" w:rsidRPr="00EB3FFF">
        <w:t>, total household growth will be</w:t>
      </w:r>
      <w:r w:rsidR="00916CBC">
        <w:t xml:space="preserve"> 2,932</w:t>
      </w:r>
      <w:r w:rsidR="00916CBC" w:rsidRPr="00EB3FFF">
        <w:t xml:space="preserve"> dwellings </w:t>
      </w:r>
      <w:r>
        <w:t xml:space="preserve">across the District </w:t>
      </w:r>
      <w:r w:rsidR="00916CBC" w:rsidRPr="00EB3FFF">
        <w:t>between 2019 and 2029.</w:t>
      </w:r>
    </w:p>
    <w:p w14:paraId="0FDBEDF9" w14:textId="77777777" w:rsidR="00916CBC" w:rsidRPr="00613643" w:rsidRDefault="00916CBC" w:rsidP="00916CBC">
      <w:pPr>
        <w:pStyle w:val="ListNumber"/>
      </w:pPr>
      <w:r w:rsidRPr="00CE338F">
        <w:rPr>
          <w:b/>
        </w:rPr>
        <w:t>Step two</w:t>
      </w:r>
      <w:r>
        <w:t xml:space="preserve"> is to adjust this annual average using the most recent ONS median workplace-based affordability ratios</w:t>
      </w:r>
      <w:r>
        <w:rPr>
          <w:rStyle w:val="FootnoteReference"/>
        </w:rPr>
        <w:footnoteReference w:id="14"/>
      </w:r>
      <w:r>
        <w:t xml:space="preserve">, which </w:t>
      </w:r>
      <w:r w:rsidRPr="00613643">
        <w:t>provide the ratio of house prices to earnings for various geographies. For each 1% increase in the ratio above, projected household growth should be increased by a quarter of a percent:</w:t>
      </w:r>
    </w:p>
    <w:p w14:paraId="034529D3" w14:textId="2C4D0A62" w:rsidR="00916CBC" w:rsidRPr="00613643" w:rsidRDefault="00EC0ED4" w:rsidP="00CF0FBA">
      <w:pPr>
        <w:pStyle w:val="ListNumber"/>
        <w:numPr>
          <w:ilvl w:val="0"/>
          <w:numId w:val="24"/>
        </w:numPr>
      </w:pPr>
      <w:r>
        <w:t>Babergh</w:t>
      </w:r>
      <w:r w:rsidR="00916CBC" w:rsidRPr="00613643">
        <w:t xml:space="preserve">’s 2018 median affordability ratio is 11.39. Using the formula outlined in the PPG to calculate the adjustment factor (1.426) creates a minimum annual local housing figure of 428 dwellings (rounded). </w:t>
      </w:r>
    </w:p>
    <w:p w14:paraId="75C4D0E6" w14:textId="0D1A277D" w:rsidR="00613643" w:rsidRDefault="00613643" w:rsidP="00613643">
      <w:pPr>
        <w:pStyle w:val="ListNumber"/>
      </w:pPr>
      <w:bookmarkStart w:id="69" w:name="_Ref7634753"/>
      <w:r w:rsidRPr="007A7926">
        <w:rPr>
          <w:b/>
        </w:rPr>
        <w:lastRenderedPageBreak/>
        <w:t>Step three</w:t>
      </w:r>
      <w:r>
        <w:t xml:space="preserve"> is to apply a cap which limits the increases </w:t>
      </w:r>
      <w:r w:rsidR="00A26AF7">
        <w:t xml:space="preserve">applied to </w:t>
      </w:r>
      <w:r>
        <w:t>an</w:t>
      </w:r>
      <w:r w:rsidR="00A26AF7">
        <w:t>y</w:t>
      </w:r>
      <w:r>
        <w:t xml:space="preserve"> individual local authority. How this is calculated depends on the current status of relevant strategic policies for housing. There are two options</w:t>
      </w:r>
      <w:r w:rsidR="00A26AF7">
        <w:t>,</w:t>
      </w:r>
      <w:r>
        <w:t xml:space="preserve"> depending on whether the policies were adopted within the last 5 years or are older:</w:t>
      </w:r>
      <w:bookmarkEnd w:id="69"/>
    </w:p>
    <w:p w14:paraId="29647E26" w14:textId="4F8F85E2" w:rsidR="00916CBC" w:rsidRDefault="00A26AF7" w:rsidP="00916CBC">
      <w:pPr>
        <w:pStyle w:val="ListBullet2"/>
        <w:tabs>
          <w:tab w:val="clear" w:pos="1276"/>
          <w:tab w:val="num" w:pos="1134"/>
          <w:tab w:val="num" w:pos="1571"/>
        </w:tabs>
        <w:ind w:left="1570"/>
      </w:pPr>
      <w:r>
        <w:t xml:space="preserve">Option 1: </w:t>
      </w:r>
      <w:r w:rsidR="00916CBC">
        <w:t>Where the relevant strategic policies were adopted within the last 5 years (at the point of making the calculation), the local housing need figure is capped at 40% above the average annual housing requirement figure set out in the existing policies.  This also applies where the relevant strategic policies have been reviewed by the authority within the 5 year period and found not to require updating.</w:t>
      </w:r>
    </w:p>
    <w:p w14:paraId="0F484296" w14:textId="5CA6786A" w:rsidR="00916CBC" w:rsidRDefault="00A26AF7" w:rsidP="00916CBC">
      <w:pPr>
        <w:pStyle w:val="ListBullet2"/>
        <w:tabs>
          <w:tab w:val="clear" w:pos="1276"/>
          <w:tab w:val="num" w:pos="1571"/>
        </w:tabs>
        <w:ind w:left="1570"/>
      </w:pPr>
      <w:r>
        <w:t xml:space="preserve">Option 2: </w:t>
      </w:r>
      <w:r w:rsidR="00916CBC">
        <w:t>Where the relevant strategic policies for housing were adopted more than 5 years ago (at the point of making the calculation), the local housing need figure is capped at 40% above whichever is the higher of:</w:t>
      </w:r>
    </w:p>
    <w:p w14:paraId="622F329B" w14:textId="77777777" w:rsidR="00916CBC" w:rsidRDefault="00916CBC" w:rsidP="00916CBC">
      <w:pPr>
        <w:pStyle w:val="ListBullet3"/>
        <w:tabs>
          <w:tab w:val="clear" w:pos="1701"/>
          <w:tab w:val="num" w:pos="1996"/>
        </w:tabs>
        <w:ind w:left="1995"/>
      </w:pPr>
      <w:r>
        <w:t>a) the projected household growth for the area over the 10 year period identified in step 1; or</w:t>
      </w:r>
    </w:p>
    <w:p w14:paraId="47B55467" w14:textId="77777777" w:rsidR="00916CBC" w:rsidRDefault="00916CBC" w:rsidP="00916CBC">
      <w:pPr>
        <w:pStyle w:val="ListBullet3"/>
        <w:tabs>
          <w:tab w:val="clear" w:pos="1701"/>
          <w:tab w:val="num" w:pos="1996"/>
        </w:tabs>
        <w:ind w:left="1995"/>
      </w:pPr>
      <w:r>
        <w:t>b) the average annual housing requirement figure set out in the most recently adopted strategic policies (if a figure exists).</w:t>
      </w:r>
    </w:p>
    <w:p w14:paraId="5E3E6EA2" w14:textId="167E2653" w:rsidR="00E36D97" w:rsidRDefault="00E36D97" w:rsidP="00E36D97">
      <w:pPr>
        <w:pStyle w:val="ListNumber"/>
      </w:pPr>
      <w:bookmarkStart w:id="70" w:name="_Toc454417"/>
      <w:bookmarkEnd w:id="68"/>
      <w:r>
        <w:t>The existing relevant strategic policies are those in the</w:t>
      </w:r>
      <w:r w:rsidR="0085255D" w:rsidRPr="0085255D">
        <w:t xml:space="preserve"> </w:t>
      </w:r>
      <w:r w:rsidR="0085255D">
        <w:t xml:space="preserve">Babergh Core Strategy, adopted in </w:t>
      </w:r>
      <w:r w:rsidR="00E70F79">
        <w:t xml:space="preserve">February </w:t>
      </w:r>
      <w:r w:rsidR="0085255D">
        <w:t>2014</w:t>
      </w:r>
      <w:r>
        <w:t xml:space="preserve">. </w:t>
      </w:r>
      <w:r w:rsidR="00E70F79" w:rsidRPr="00A217BB">
        <w:t xml:space="preserve">As this document was </w:t>
      </w:r>
      <w:r w:rsidR="00E70F79">
        <w:t xml:space="preserve">not </w:t>
      </w:r>
      <w:r w:rsidR="00E70F79" w:rsidRPr="00A217BB">
        <w:t>adopted withi</w:t>
      </w:r>
      <w:r w:rsidR="00E70F79">
        <w:t>n the last five years, the second</w:t>
      </w:r>
      <w:r w:rsidR="00E70F79" w:rsidRPr="00A217BB">
        <w:t xml:space="preserve"> </w:t>
      </w:r>
      <w:r w:rsidR="00A26AF7">
        <w:t>option</w:t>
      </w:r>
      <w:r w:rsidR="00A26AF7" w:rsidRPr="00A217BB">
        <w:t xml:space="preserve"> </w:t>
      </w:r>
      <w:r w:rsidR="00E70F79" w:rsidRPr="00A217BB">
        <w:t xml:space="preserve">above is applied and the LHN is capped at 40% above </w:t>
      </w:r>
      <w:r w:rsidR="00E70F79">
        <w:t xml:space="preserve">whichever is the higher of </w:t>
      </w:r>
      <w:r w:rsidR="00A26AF7">
        <w:t xml:space="preserve">either </w:t>
      </w:r>
      <w:r w:rsidR="00E70F79">
        <w:t xml:space="preserve">a) or b) described </w:t>
      </w:r>
      <w:r w:rsidR="00A26AF7">
        <w:t>in Option 2 above.</w:t>
      </w:r>
    </w:p>
    <w:p w14:paraId="4101A2DC" w14:textId="0090EB57" w:rsidR="00E70F79" w:rsidRDefault="00E70F79" w:rsidP="00E36D97">
      <w:pPr>
        <w:pStyle w:val="ListNumber"/>
      </w:pPr>
      <w:r>
        <w:t xml:space="preserve">The projected household growth for the area </w:t>
      </w:r>
      <w:r w:rsidR="00A26AF7">
        <w:t xml:space="preserve">(thus a) above) </w:t>
      </w:r>
      <w:r>
        <w:t>over the 10 year period identified in step 1 is 2,932 dwellings between 2019 and 2029</w:t>
      </w:r>
      <w:r w:rsidR="00EE5119">
        <w:t>, which equates to 293 dwellings per annum for this period</w:t>
      </w:r>
      <w:r w:rsidR="00A26AF7">
        <w:t>.</w:t>
      </w:r>
    </w:p>
    <w:p w14:paraId="1C27211C" w14:textId="52A10A06" w:rsidR="00E36D97" w:rsidRDefault="00E36D97" w:rsidP="00E36D97">
      <w:pPr>
        <w:pStyle w:val="ListNumber"/>
        <w:ind w:left="426"/>
      </w:pPr>
      <w:r>
        <w:t xml:space="preserve">The </w:t>
      </w:r>
      <w:r w:rsidR="00E70F79">
        <w:t xml:space="preserve">average </w:t>
      </w:r>
      <w:r>
        <w:t>housing requirement figure</w:t>
      </w:r>
      <w:r w:rsidR="00EE5119">
        <w:t xml:space="preserve"> (</w:t>
      </w:r>
      <w:r w:rsidR="00A26AF7">
        <w:t xml:space="preserve">thus </w:t>
      </w:r>
      <w:r w:rsidR="00EE5119">
        <w:t>b)</w:t>
      </w:r>
      <w:r w:rsidR="00A26AF7">
        <w:t xml:space="preserve"> above</w:t>
      </w:r>
      <w:r w:rsidR="00EE5119">
        <w:t>)</w:t>
      </w:r>
      <w:r>
        <w:t xml:space="preserve"> for Babergh District for the plan period 2011 – </w:t>
      </w:r>
      <w:r w:rsidR="00B815D7">
        <w:t>2036</w:t>
      </w:r>
      <w:r>
        <w:t xml:space="preserve"> is at least </w:t>
      </w:r>
      <w:r w:rsidR="00EE5119">
        <w:t xml:space="preserve">5,975 </w:t>
      </w:r>
      <w:r>
        <w:t xml:space="preserve">homes, or an average of </w:t>
      </w:r>
      <w:r w:rsidR="00EE5119">
        <w:t>299</w:t>
      </w:r>
      <w:r>
        <w:t xml:space="preserve"> homes per annum. </w:t>
      </w:r>
    </w:p>
    <w:p w14:paraId="5A444378" w14:textId="3470762D" w:rsidR="00EE5119" w:rsidRPr="00A217BB" w:rsidRDefault="00EE5119" w:rsidP="00EE5119">
      <w:pPr>
        <w:pStyle w:val="ListNumber"/>
      </w:pPr>
      <w:r w:rsidRPr="00A217BB">
        <w:t>The</w:t>
      </w:r>
      <w:r>
        <w:t xml:space="preserve">refore, </w:t>
      </w:r>
      <w:r w:rsidR="00A26AF7">
        <w:t xml:space="preserve">b) is higher than a), so </w:t>
      </w:r>
      <w:r>
        <w:t xml:space="preserve">the cap is applied to b). A cap of 40% above 299 is </w:t>
      </w:r>
      <w:r w:rsidR="00A26AF7">
        <w:t>(</w:t>
      </w:r>
      <w:r>
        <w:t>299 x 1.4 =</w:t>
      </w:r>
      <w:r w:rsidR="00A26AF7">
        <w:t>)</w:t>
      </w:r>
      <w:r>
        <w:t xml:space="preserve"> 419 (rounded)</w:t>
      </w:r>
      <w:r w:rsidRPr="00A217BB">
        <w:t>.</w:t>
      </w:r>
    </w:p>
    <w:p w14:paraId="07DD495C" w14:textId="0EE0A888" w:rsidR="00EE5119" w:rsidRPr="005F073B" w:rsidRDefault="00EE5119" w:rsidP="00EE5119">
      <w:pPr>
        <w:pStyle w:val="ListNumber"/>
        <w:rPr>
          <w:b/>
        </w:rPr>
      </w:pPr>
      <w:r>
        <w:t>The cap of 419</w:t>
      </w:r>
      <w:r w:rsidR="00A26AF7">
        <w:t xml:space="preserve"> </w:t>
      </w:r>
      <w:r>
        <w:t xml:space="preserve">is </w:t>
      </w:r>
      <w:r w:rsidR="00A26AF7">
        <w:t xml:space="preserve">smaller </w:t>
      </w:r>
      <w:r>
        <w:t xml:space="preserve">than the figure of 428 dwellings, </w:t>
      </w:r>
      <w:r w:rsidRPr="00A217BB">
        <w:t>and therefore limit</w:t>
      </w:r>
      <w:r w:rsidR="00A26AF7">
        <w:t>s</w:t>
      </w:r>
      <w:r w:rsidRPr="00A217BB">
        <w:t xml:space="preserve"> the adjustment for affordability. The minimum LHN for </w:t>
      </w:r>
      <w:r w:rsidR="005F073B">
        <w:t xml:space="preserve">Babergh </w:t>
      </w:r>
      <w:r>
        <w:t xml:space="preserve">is therefore </w:t>
      </w:r>
      <w:r w:rsidRPr="00D56987">
        <w:t>4</w:t>
      </w:r>
      <w:r w:rsidR="00A26AF7" w:rsidRPr="00D56987">
        <w:t>19</w:t>
      </w:r>
      <w:r w:rsidRPr="00D56987">
        <w:t xml:space="preserve"> net additional dwellings per year.</w:t>
      </w:r>
      <w:r w:rsidR="0033125C">
        <w:rPr>
          <w:rStyle w:val="FootnoteReference"/>
        </w:rPr>
        <w:footnoteReference w:id="15"/>
      </w:r>
    </w:p>
    <w:p w14:paraId="6F41DAC0" w14:textId="77777777" w:rsidR="00EE5119" w:rsidRDefault="00E36D97" w:rsidP="00E36D97">
      <w:pPr>
        <w:pStyle w:val="ListNumber"/>
      </w:pPr>
      <w:r>
        <w:t>Having derived Babergh’s LHN, we now calculate Copdock’s share of that target by looking at what proportion of Babergh’s population currently reside in Copdock and applying that percentage to the District’s LHN.</w:t>
      </w:r>
    </w:p>
    <w:p w14:paraId="3653FC7E" w14:textId="3A7988AA" w:rsidR="00E36D97" w:rsidRDefault="00E36D97" w:rsidP="00E36D97">
      <w:pPr>
        <w:pStyle w:val="ListNumber"/>
      </w:pPr>
      <w:r>
        <w:t>At the time of the last Census</w:t>
      </w:r>
      <w:r w:rsidR="00A26AF7">
        <w:t xml:space="preserve"> (2011)</w:t>
      </w:r>
      <w:r>
        <w:t xml:space="preserve">, there were </w:t>
      </w:r>
      <w:r w:rsidR="005F073B">
        <w:t xml:space="preserve">1,114 </w:t>
      </w:r>
      <w:r>
        <w:t xml:space="preserve">people in the NA, or </w:t>
      </w:r>
      <w:r w:rsidR="005F073B">
        <w:t>1.27</w:t>
      </w:r>
      <w:r>
        <w:t xml:space="preserve">% of the </w:t>
      </w:r>
      <w:r w:rsidR="005F073B">
        <w:t>87,740</w:t>
      </w:r>
      <w:r>
        <w:t xml:space="preserve"> people in Babergh. Therefore, applying this percentage to Babergh’s LHN</w:t>
      </w:r>
      <w:r w:rsidR="00A26AF7">
        <w:t xml:space="preserve"> (1.27% of 419)</w:t>
      </w:r>
      <w:r>
        <w:t xml:space="preserve"> </w:t>
      </w:r>
      <w:r>
        <w:rPr>
          <w:b/>
        </w:rPr>
        <w:t xml:space="preserve">gives a </w:t>
      </w:r>
      <w:r w:rsidR="00465696">
        <w:rPr>
          <w:b/>
        </w:rPr>
        <w:t>HRF</w:t>
      </w:r>
      <w:r>
        <w:rPr>
          <w:b/>
        </w:rPr>
        <w:t xml:space="preserve"> for the NA of </w:t>
      </w:r>
      <w:r w:rsidR="00A26AF7">
        <w:rPr>
          <w:b/>
        </w:rPr>
        <w:t>5</w:t>
      </w:r>
      <w:r w:rsidR="005F073B">
        <w:rPr>
          <w:b/>
        </w:rPr>
        <w:t xml:space="preserve"> dwelling</w:t>
      </w:r>
      <w:r w:rsidR="00A26AF7">
        <w:rPr>
          <w:b/>
        </w:rPr>
        <w:t>s (rounded)</w:t>
      </w:r>
      <w:r w:rsidR="005F073B">
        <w:rPr>
          <w:b/>
        </w:rPr>
        <w:t xml:space="preserve"> every year</w:t>
      </w:r>
      <w:r>
        <w:rPr>
          <w:b/>
        </w:rPr>
        <w:t xml:space="preserve">, or </w:t>
      </w:r>
      <w:r w:rsidR="00A26AF7">
        <w:rPr>
          <w:b/>
        </w:rPr>
        <w:t>90</w:t>
      </w:r>
      <w:r w:rsidR="005F073B">
        <w:rPr>
          <w:b/>
        </w:rPr>
        <w:t xml:space="preserve"> dwellings </w:t>
      </w:r>
      <w:r>
        <w:rPr>
          <w:b/>
        </w:rPr>
        <w:t>over the entirety of the Neighbourhood plan period, 2018-2036</w:t>
      </w:r>
      <w:r>
        <w:t xml:space="preserve">. </w:t>
      </w:r>
    </w:p>
    <w:p w14:paraId="6B77EEE3" w14:textId="77777777" w:rsidR="00916CBC" w:rsidRDefault="00916CBC" w:rsidP="00CF0FBA">
      <w:pPr>
        <w:keepNext/>
        <w:keepLines/>
        <w:numPr>
          <w:ilvl w:val="1"/>
          <w:numId w:val="23"/>
        </w:numPr>
        <w:spacing w:before="240" w:after="180" w:line="264" w:lineRule="auto"/>
        <w:ind w:left="993"/>
        <w:outlineLvl w:val="1"/>
        <w:rPr>
          <w:rFonts w:eastAsia="Times New Roman" w:cs="Arial"/>
          <w:bCs/>
          <w:color w:val="00B5E2"/>
          <w:sz w:val="26"/>
          <w:szCs w:val="26"/>
        </w:rPr>
      </w:pPr>
      <w:bookmarkStart w:id="71" w:name="_Toc5278213"/>
      <w:bookmarkStart w:id="72" w:name="_Toc5181830"/>
      <w:bookmarkStart w:id="73" w:name="_Toc7789719"/>
      <w:r>
        <w:rPr>
          <w:rFonts w:eastAsia="Times New Roman" w:cs="Arial"/>
          <w:bCs/>
          <w:color w:val="00B5E2"/>
          <w:sz w:val="26"/>
          <w:szCs w:val="26"/>
        </w:rPr>
        <w:t>Latest LA planning strategy</w:t>
      </w:r>
      <w:bookmarkEnd w:id="70"/>
      <w:r>
        <w:rPr>
          <w:rFonts w:eastAsia="Times New Roman" w:cs="Arial"/>
          <w:bCs/>
          <w:color w:val="00B5E2"/>
          <w:sz w:val="26"/>
          <w:szCs w:val="26"/>
        </w:rPr>
        <w:t xml:space="preserve"> (Step 2)</w:t>
      </w:r>
      <w:bookmarkEnd w:id="71"/>
      <w:bookmarkEnd w:id="72"/>
      <w:bookmarkEnd w:id="73"/>
    </w:p>
    <w:p w14:paraId="73145BA5" w14:textId="401C51F3" w:rsidR="00916CBC" w:rsidRDefault="00916CBC" w:rsidP="00916CBC">
      <w:pPr>
        <w:pStyle w:val="ListNumber"/>
        <w:ind w:left="426"/>
        <w:rPr>
          <w:rFonts w:cs="Arial"/>
          <w:color w:val="FF0000"/>
        </w:rPr>
      </w:pPr>
      <w:r>
        <w:t xml:space="preserve">However, as stated in NPPF guidance, it is important to acknowledge the relevant policies in the most recently available development plan document for the District, which reflect the overall strategy for the pattern and scale of development and any relevant allocations. This requires producing a </w:t>
      </w:r>
      <w:r w:rsidR="00465696">
        <w:t>HRF</w:t>
      </w:r>
      <w:r>
        <w:t xml:space="preserve"> for the NA that takes into account the Local Authority’s spatial strategy, and therefore may differ slightly from the initial </w:t>
      </w:r>
      <w:r w:rsidR="00465696">
        <w:t>HRF</w:t>
      </w:r>
      <w:r>
        <w:t xml:space="preserve"> calculated above. </w:t>
      </w:r>
    </w:p>
    <w:p w14:paraId="2A344749" w14:textId="1FECDA56" w:rsidR="00F05BB8" w:rsidRPr="00F05BB8" w:rsidRDefault="00916CBC" w:rsidP="00916CBC">
      <w:pPr>
        <w:pStyle w:val="ListNumber"/>
        <w:ind w:left="426"/>
      </w:pPr>
      <w:r>
        <w:t xml:space="preserve">In </w:t>
      </w:r>
      <w:r w:rsidR="00EC0ED4">
        <w:t>Babergh</w:t>
      </w:r>
      <w:r>
        <w:t>, the relevant document is the</w:t>
      </w:r>
      <w:r w:rsidR="005F073B">
        <w:t xml:space="preserve"> Babergh Core Strategy 2014. The overall strategy for the pattern</w:t>
      </w:r>
      <w:r w:rsidR="00F05BB8">
        <w:t>,</w:t>
      </w:r>
      <w:r w:rsidR="005F073B">
        <w:t xml:space="preserve"> scale </w:t>
      </w:r>
      <w:r w:rsidR="00F05BB8">
        <w:t xml:space="preserve">and overall housing need figure for the district </w:t>
      </w:r>
      <w:r w:rsidR="005F073B">
        <w:t>is outlined in</w:t>
      </w:r>
      <w:r w:rsidR="005F073B" w:rsidRPr="005F073B">
        <w:rPr>
          <w:b/>
        </w:rPr>
        <w:t xml:space="preserve"> </w:t>
      </w:r>
      <w:r w:rsidR="005F073B" w:rsidRPr="00447576">
        <w:rPr>
          <w:b/>
        </w:rPr>
        <w:t>Policy CS2</w:t>
      </w:r>
      <w:r w:rsidR="00F05BB8">
        <w:rPr>
          <w:b/>
        </w:rPr>
        <w:t xml:space="preserve">. </w:t>
      </w:r>
    </w:p>
    <w:p w14:paraId="233D00FB" w14:textId="5E57DB8C" w:rsidR="006F51BF" w:rsidRPr="002528FF" w:rsidRDefault="00EC0ED4" w:rsidP="00916CBC">
      <w:pPr>
        <w:pStyle w:val="ListNumber"/>
        <w:ind w:left="426"/>
      </w:pPr>
      <w:r>
        <w:t>Copdock</w:t>
      </w:r>
      <w:r w:rsidR="00916CBC">
        <w:t xml:space="preserve"> is categorised within the </w:t>
      </w:r>
      <w:r w:rsidR="00F05BB8">
        <w:t xml:space="preserve">Hinterland </w:t>
      </w:r>
      <w:r w:rsidR="00916CBC">
        <w:t xml:space="preserve">Villages Category. </w:t>
      </w:r>
      <w:r w:rsidR="00F05BB8">
        <w:t>Babergh District Planning Framework 2015 allocates 1,050 of the overall requirement of 5,975 dwellings to be provided in the Core and Hinterland Villages. A total of 43 Hinterland Villages are in this category</w:t>
      </w:r>
      <w:r w:rsidR="006F51BF">
        <w:rPr>
          <w:rStyle w:val="FootnoteReference"/>
        </w:rPr>
        <w:footnoteReference w:id="16"/>
      </w:r>
      <w:r w:rsidR="00F05BB8">
        <w:t xml:space="preserve">. However, the Babergh Core Strategy 2014 states that some of these 43 hinterland villages also fall into other functional clusters. As it is not clear how each hinterland village </w:t>
      </w:r>
      <w:r w:rsidR="006F51BF">
        <w:t xml:space="preserve">should calculate their housing requirement figure, it is necessary to calculate a fair share of the overall hinterland village housing requirement figure. </w:t>
      </w:r>
      <w:r w:rsidR="006F51BF">
        <w:rPr>
          <w:rFonts w:cstheme="minorHAnsi"/>
        </w:rPr>
        <w:t xml:space="preserve">Therefore, Copdock’s indicative requirement would be (1,050/43=) 24 dwellings. </w:t>
      </w:r>
      <w:r w:rsidR="00232799">
        <w:rPr>
          <w:rFonts w:cstheme="minorHAnsi"/>
        </w:rPr>
        <w:t>Over the Core Strategy</w:t>
      </w:r>
      <w:r w:rsidR="006F51BF">
        <w:rPr>
          <w:rFonts w:cstheme="minorHAnsi"/>
        </w:rPr>
        <w:t xml:space="preserve"> plan period </w:t>
      </w:r>
      <w:r w:rsidR="00232799">
        <w:rPr>
          <w:rFonts w:cstheme="minorHAnsi"/>
        </w:rPr>
        <w:t>(</w:t>
      </w:r>
      <w:r w:rsidR="006F51BF">
        <w:rPr>
          <w:rFonts w:cstheme="minorHAnsi"/>
        </w:rPr>
        <w:t xml:space="preserve">2011 – </w:t>
      </w:r>
      <w:r w:rsidR="00B815D7">
        <w:rPr>
          <w:rFonts w:cstheme="minorHAnsi"/>
        </w:rPr>
        <w:t>203</w:t>
      </w:r>
      <w:r w:rsidR="00232799">
        <w:rPr>
          <w:rFonts w:cstheme="minorHAnsi"/>
        </w:rPr>
        <w:t>1)</w:t>
      </w:r>
      <w:r w:rsidR="006F51BF">
        <w:rPr>
          <w:rFonts w:cstheme="minorHAnsi"/>
        </w:rPr>
        <w:t xml:space="preserve">, it is necessary to calculate the indicative </w:t>
      </w:r>
      <w:r w:rsidR="002528FF">
        <w:rPr>
          <w:rFonts w:cstheme="minorHAnsi"/>
        </w:rPr>
        <w:t>requirement</w:t>
      </w:r>
      <w:r w:rsidR="006F51BF">
        <w:rPr>
          <w:rFonts w:cstheme="minorHAnsi"/>
        </w:rPr>
        <w:t xml:space="preserve"> per annum which would be </w:t>
      </w:r>
      <w:r w:rsidR="006F51BF" w:rsidRPr="006F51BF">
        <w:rPr>
          <w:rFonts w:cstheme="minorHAnsi"/>
          <w:b/>
        </w:rPr>
        <w:t>1 dwelling per annum</w:t>
      </w:r>
      <w:r w:rsidR="006F51BF">
        <w:rPr>
          <w:rFonts w:cstheme="minorHAnsi"/>
        </w:rPr>
        <w:t xml:space="preserve"> (24 divided by 20, rounded). Then</w:t>
      </w:r>
      <w:r w:rsidR="00232799">
        <w:rPr>
          <w:rFonts w:cstheme="minorHAnsi"/>
        </w:rPr>
        <w:t>,</w:t>
      </w:r>
      <w:r w:rsidR="006F51BF">
        <w:rPr>
          <w:rFonts w:cstheme="minorHAnsi"/>
        </w:rPr>
        <w:t xml:space="preserve"> applying this figure to the NP period 2018 – 2036 would result in an </w:t>
      </w:r>
      <w:r w:rsidR="006F51BF" w:rsidRPr="006F51BF">
        <w:rPr>
          <w:rFonts w:cstheme="minorHAnsi"/>
          <w:b/>
        </w:rPr>
        <w:t xml:space="preserve">overall indicative requirement figure of </w:t>
      </w:r>
      <w:r w:rsidR="00232799">
        <w:rPr>
          <w:rFonts w:cstheme="minorHAnsi"/>
          <w:b/>
        </w:rPr>
        <w:t>18</w:t>
      </w:r>
      <w:r w:rsidR="006F51BF" w:rsidRPr="006F51BF">
        <w:rPr>
          <w:rFonts w:cstheme="minorHAnsi"/>
          <w:b/>
        </w:rPr>
        <w:t xml:space="preserve"> dwellings.</w:t>
      </w:r>
      <w:r w:rsidR="006F51BF">
        <w:rPr>
          <w:rFonts w:cstheme="minorHAnsi"/>
        </w:rPr>
        <w:t xml:space="preserve"> </w:t>
      </w:r>
    </w:p>
    <w:p w14:paraId="1F747783" w14:textId="77777777" w:rsidR="00916CBC" w:rsidRDefault="00916CBC" w:rsidP="00CF0FBA">
      <w:pPr>
        <w:pStyle w:val="Heading2"/>
        <w:numPr>
          <w:ilvl w:val="1"/>
          <w:numId w:val="23"/>
        </w:numPr>
      </w:pPr>
      <w:bookmarkStart w:id="74" w:name="_Toc7789720"/>
      <w:bookmarkStart w:id="75" w:name="_Toc7789721"/>
      <w:bookmarkStart w:id="76" w:name="_Toc7789737"/>
      <w:bookmarkStart w:id="77" w:name="_Toc7789738"/>
      <w:bookmarkStart w:id="78" w:name="_Toc7789739"/>
      <w:bookmarkStart w:id="79" w:name="_Toc7789740"/>
      <w:bookmarkStart w:id="80" w:name="_Toc7789741"/>
      <w:bookmarkStart w:id="81" w:name="_Toc5278214"/>
      <w:bookmarkStart w:id="82" w:name="_Toc5181831"/>
      <w:bookmarkStart w:id="83" w:name="_Toc454418"/>
      <w:bookmarkStart w:id="84" w:name="_Toc7789742"/>
      <w:bookmarkEnd w:id="74"/>
      <w:bookmarkEnd w:id="75"/>
      <w:bookmarkEnd w:id="76"/>
      <w:bookmarkEnd w:id="77"/>
      <w:bookmarkEnd w:id="78"/>
      <w:bookmarkEnd w:id="79"/>
      <w:bookmarkEnd w:id="80"/>
      <w:r>
        <w:lastRenderedPageBreak/>
        <w:t>Past dwelling completions and commitments (Step 3)</w:t>
      </w:r>
      <w:bookmarkEnd w:id="81"/>
      <w:bookmarkEnd w:id="82"/>
      <w:bookmarkEnd w:id="83"/>
      <w:bookmarkEnd w:id="84"/>
    </w:p>
    <w:p w14:paraId="52199D7A" w14:textId="34F22740" w:rsidR="00916CBC" w:rsidRDefault="00916CBC" w:rsidP="00916CBC">
      <w:pPr>
        <w:pStyle w:val="ListNumber"/>
        <w:ind w:left="426"/>
      </w:pPr>
      <w:r>
        <w:t xml:space="preserve">The next step is to subtract any net completions of new dwellings that have occurred since the beginning of the Plan period of 2018 - 2036, as well as </w:t>
      </w:r>
      <w:r w:rsidR="00232799">
        <w:t xml:space="preserve">considering </w:t>
      </w:r>
      <w:r>
        <w:t>commitments.</w:t>
      </w:r>
    </w:p>
    <w:p w14:paraId="3BBB36B3" w14:textId="6F2BCA51" w:rsidR="00916CBC" w:rsidRDefault="00916CBC" w:rsidP="00916CBC">
      <w:pPr>
        <w:pStyle w:val="ListNumber"/>
        <w:ind w:left="426"/>
      </w:pPr>
      <w:r>
        <w:t xml:space="preserve">According to </w:t>
      </w:r>
      <w:r w:rsidR="006A062D">
        <w:t>Babergh District Council’s Annual Monitoring Report for 2017-8 (the most recent available)</w:t>
      </w:r>
      <w:r>
        <w:t xml:space="preserve">, </w:t>
      </w:r>
      <w:r w:rsidR="006A062D">
        <w:t>while there appear to have been  no dwelling completions during the start of the Plan period so far, there is a commitment to build 15 dwellings at the football ground north-east of Elm Lane. It is recommended that commitments are not deducted from the overall figure, however, but this does indicate that until the Joint Local Plan is adopted, at which point the Standard Method calculated above should apply, that land has already been found for fifteen of the Core Strategy-derived requirement for eighteen dwellings.</w:t>
      </w:r>
    </w:p>
    <w:p w14:paraId="182E41A7" w14:textId="18A20021" w:rsidR="00916CBC" w:rsidRPr="00D56987" w:rsidRDefault="006A062D" w:rsidP="00916CBC">
      <w:pPr>
        <w:pStyle w:val="ListNumber"/>
        <w:ind w:left="426"/>
        <w:rPr>
          <w:b/>
        </w:rPr>
      </w:pPr>
      <w:r>
        <w:t>However, because this is a commitment and not a completion</w:t>
      </w:r>
      <w:r w:rsidR="00916CBC">
        <w:t xml:space="preserve">, the residual </w:t>
      </w:r>
      <w:r w:rsidR="00465696">
        <w:t>HRF</w:t>
      </w:r>
      <w:r w:rsidR="00916CBC">
        <w:t xml:space="preserve"> will not have any deductions </w:t>
      </w:r>
      <w:r>
        <w:t xml:space="preserve">applied </w:t>
      </w:r>
      <w:r w:rsidR="00916CBC">
        <w:t xml:space="preserve">at this stage and will remain as </w:t>
      </w:r>
      <w:r w:rsidRPr="00D56987">
        <w:rPr>
          <w:b/>
        </w:rPr>
        <w:t>1</w:t>
      </w:r>
      <w:r w:rsidR="00916CBC" w:rsidRPr="00D56987">
        <w:rPr>
          <w:b/>
        </w:rPr>
        <w:t xml:space="preserve"> dwelling (rounded) per annum, or </w:t>
      </w:r>
      <w:r w:rsidRPr="00D56987">
        <w:rPr>
          <w:b/>
        </w:rPr>
        <w:t>18</w:t>
      </w:r>
      <w:r w:rsidR="00916CBC" w:rsidRPr="00D56987">
        <w:rPr>
          <w:b/>
        </w:rPr>
        <w:t xml:space="preserve"> dwellings over the Neighbourhood plan period, 2018-2036</w:t>
      </w:r>
      <w:r w:rsidRPr="00D56987">
        <w:rPr>
          <w:b/>
        </w:rPr>
        <w:t>, until the Joint Local Plan is adopted.</w:t>
      </w:r>
    </w:p>
    <w:p w14:paraId="4199683A" w14:textId="77777777" w:rsidR="00916CBC" w:rsidRDefault="00916CBC" w:rsidP="00CF0FBA">
      <w:pPr>
        <w:pStyle w:val="Heading2"/>
        <w:numPr>
          <w:ilvl w:val="1"/>
          <w:numId w:val="23"/>
        </w:numPr>
      </w:pPr>
      <w:bookmarkStart w:id="85" w:name="_Toc5278215"/>
      <w:bookmarkStart w:id="86" w:name="_Toc5181832"/>
      <w:bookmarkStart w:id="87" w:name="_Toc7789743"/>
      <w:r>
        <w:t>Final Housing Need Figure</w:t>
      </w:r>
      <w:bookmarkEnd w:id="85"/>
      <w:bookmarkEnd w:id="86"/>
      <w:bookmarkEnd w:id="87"/>
    </w:p>
    <w:p w14:paraId="35405AA1" w14:textId="44CDF2F1" w:rsidR="00916CBC" w:rsidRDefault="00916CBC" w:rsidP="00916CBC">
      <w:pPr>
        <w:pStyle w:val="ListNumber"/>
        <w:ind w:left="426"/>
        <w:jc w:val="both"/>
      </w:pPr>
      <w:r>
        <w:t xml:space="preserve">Based on the evidence presented above, the HNA therefore recommends an </w:t>
      </w:r>
      <w:r>
        <w:rPr>
          <w:b/>
        </w:rPr>
        <w:t xml:space="preserve">overall </w:t>
      </w:r>
      <w:r w:rsidR="00465696">
        <w:rPr>
          <w:b/>
        </w:rPr>
        <w:t>HRF</w:t>
      </w:r>
      <w:r>
        <w:rPr>
          <w:b/>
        </w:rPr>
        <w:t xml:space="preserve"> of </w:t>
      </w:r>
      <w:r w:rsidR="006A062D">
        <w:rPr>
          <w:b/>
        </w:rPr>
        <w:t xml:space="preserve">1 </w:t>
      </w:r>
      <w:r>
        <w:rPr>
          <w:b/>
        </w:rPr>
        <w:t xml:space="preserve">dwelling (rounded) per annum, or </w:t>
      </w:r>
      <w:r w:rsidR="006A062D">
        <w:rPr>
          <w:b/>
        </w:rPr>
        <w:t>18</w:t>
      </w:r>
      <w:r>
        <w:rPr>
          <w:b/>
        </w:rPr>
        <w:t xml:space="preserve"> dwellings over the Neighbourhood plan period, 2018-2036</w:t>
      </w:r>
      <w:r w:rsidR="006A062D">
        <w:t>. Note, however, that this recommendation is based on a Core Strategy that uses a now-superseded method of calculation dwelling need, and therefore has the potential to be superseded either by a) Babergh Council providing an HRF to the Parish, which they have indicated they will do during 2019, or b) by the adoption of the JLP, which, as per the Standard Method calculated above, is likely to result in a higher HRF for the parish.</w:t>
      </w:r>
    </w:p>
    <w:p w14:paraId="00E19900" w14:textId="4F9EEE52" w:rsidR="00916CBC" w:rsidRDefault="00514F87" w:rsidP="00D56987">
      <w:pPr>
        <w:pStyle w:val="ListNumber"/>
        <w:ind w:left="426"/>
        <w:jc w:val="both"/>
        <w:rPr>
          <w:rFonts w:eastAsia="Times New Roman"/>
          <w:bCs/>
          <w:sz w:val="14"/>
        </w:rPr>
      </w:pPr>
      <w:r>
        <w:t xml:space="preserve">In any case, figures calculated on the basis of the </w:t>
      </w:r>
      <w:r w:rsidR="00916CBC">
        <w:t>Government’s Standard Method a</w:t>
      </w:r>
      <w:r>
        <w:t>re</w:t>
      </w:r>
      <w:r w:rsidR="00916CBC">
        <w:t xml:space="preserve"> likely to change annually as the Government publish new affordability data each year and new household projections approximately every two years. This could impact on the number of homes required in </w:t>
      </w:r>
      <w:r w:rsidR="00EC0ED4">
        <w:t>Babergh</w:t>
      </w:r>
      <w:r w:rsidR="00916CBC">
        <w:t xml:space="preserve"> District and thus any indicative housing requirement figure provided by the Council for neighbourhood areas.</w:t>
      </w:r>
    </w:p>
    <w:p w14:paraId="36F4270A" w14:textId="79D5D200" w:rsidR="00916CBC" w:rsidRDefault="00514F87" w:rsidP="00D56987">
      <w:pPr>
        <w:pStyle w:val="ListNumber"/>
      </w:pPr>
      <w:r>
        <w:t>In the light of these caveats, it can therefore be appreciated that</w:t>
      </w:r>
      <w:r w:rsidR="00916CBC">
        <w:t xml:space="preserve"> the </w:t>
      </w:r>
      <w:r>
        <w:t xml:space="preserve">quantity </w:t>
      </w:r>
      <w:r w:rsidR="00916CBC">
        <w:t xml:space="preserve">assessment in this report </w:t>
      </w:r>
      <w:r>
        <w:t>is indicative and it is recommended that the Parish continues to liaise closely with BDC on the issue of overall quantity of housing as the JLP and the Neighbourhood Plan develop further.</w:t>
      </w:r>
    </w:p>
    <w:p w14:paraId="7F852607" w14:textId="77777777" w:rsidR="00520410" w:rsidRDefault="00520410">
      <w:pPr>
        <w:tabs>
          <w:tab w:val="clear" w:pos="284"/>
        </w:tabs>
        <w:spacing w:line="240" w:lineRule="auto"/>
        <w:rPr>
          <w:rFonts w:asciiTheme="majorHAnsi" w:eastAsiaTheme="majorEastAsia" w:hAnsiTheme="majorHAnsi" w:cstheme="majorBidi"/>
          <w:b/>
          <w:bCs/>
          <w:color w:val="00B5E2" w:themeColor="accent1"/>
          <w:sz w:val="30"/>
          <w:szCs w:val="28"/>
        </w:rPr>
      </w:pPr>
      <w:r>
        <w:br w:type="page"/>
      </w:r>
    </w:p>
    <w:p w14:paraId="1A00434B" w14:textId="40D0DBDD" w:rsidR="0021554C" w:rsidRPr="00520410" w:rsidRDefault="00520410" w:rsidP="00520410">
      <w:pPr>
        <w:pStyle w:val="Heading1"/>
      </w:pPr>
      <w:bookmarkStart w:id="88" w:name="_Toc7789744"/>
      <w:bookmarkEnd w:id="62"/>
      <w:r w:rsidRPr="00520410">
        <w:lastRenderedPageBreak/>
        <w:t xml:space="preserve">RQ </w:t>
      </w:r>
      <w:r w:rsidR="00916CBC">
        <w:t>2</w:t>
      </w:r>
      <w:r w:rsidR="00EE1788" w:rsidRPr="00520410">
        <w:t xml:space="preserve"> </w:t>
      </w:r>
      <w:r w:rsidR="0021554C" w:rsidRPr="00520410">
        <w:t>Type and size</w:t>
      </w:r>
      <w:bookmarkEnd w:id="88"/>
      <w:r w:rsidR="0021554C" w:rsidRPr="00520410">
        <w:t xml:space="preserve"> </w:t>
      </w:r>
    </w:p>
    <w:p w14:paraId="3B622D56" w14:textId="1AE642B6" w:rsidR="001E7776" w:rsidRDefault="001E7776" w:rsidP="001E7776">
      <w:pPr>
        <w:tabs>
          <w:tab w:val="clear" w:pos="284"/>
        </w:tabs>
        <w:spacing w:line="240" w:lineRule="auto"/>
        <w:rPr>
          <w:rFonts w:eastAsia="Times New Roman"/>
          <w:bCs/>
          <w:i/>
          <w:iCs/>
          <w:szCs w:val="26"/>
        </w:rPr>
      </w:pPr>
      <w:r w:rsidRPr="00D56987">
        <w:rPr>
          <w:rFonts w:eastAsia="Times New Roman"/>
          <w:b/>
          <w:bCs/>
          <w:i/>
          <w:iCs/>
          <w:szCs w:val="26"/>
        </w:rPr>
        <w:t xml:space="preserve">RQ3: What type (terrace, semi, bungalows, flats and detached) and size (number of habitable rooms) of housing is best suited to meet local needs? </w:t>
      </w:r>
    </w:p>
    <w:p w14:paraId="5D45450C" w14:textId="46909A2A" w:rsidR="00514F87" w:rsidRPr="00D56987" w:rsidRDefault="00514F87" w:rsidP="00D56987">
      <w:pPr>
        <w:pStyle w:val="Heading2"/>
        <w:keepNext w:val="0"/>
        <w:keepLines w:val="0"/>
        <w:widowControl w:val="0"/>
        <w:ind w:left="993"/>
        <w:jc w:val="both"/>
        <w:rPr>
          <w:bCs w:val="0"/>
        </w:rPr>
      </w:pPr>
      <w:bookmarkStart w:id="89" w:name="_Toc7789745"/>
      <w:r>
        <w:t>Introduction</w:t>
      </w:r>
      <w:bookmarkEnd w:id="89"/>
    </w:p>
    <w:p w14:paraId="40720107" w14:textId="3CEBA0B5" w:rsidR="001E7776" w:rsidRPr="001E7776" w:rsidRDefault="001E7776" w:rsidP="006E5E1E">
      <w:pPr>
        <w:pStyle w:val="ListNumber"/>
      </w:pPr>
      <w:r w:rsidRPr="001E7776">
        <w:t xml:space="preserve">As identified earlier in this study, </w:t>
      </w:r>
      <w:r w:rsidR="00514F87">
        <w:t xml:space="preserve">the </w:t>
      </w:r>
      <w:r w:rsidRPr="001E7776">
        <w:t>PPG recommends a consideration of the existing housing provision and its suitability, having regard to demographic shifts in age and household composition as well as affordability, to address future as well as current community need. For this reason, we start with a consideration of type and size within the existing housing stock.</w:t>
      </w:r>
    </w:p>
    <w:p w14:paraId="2E9D0784" w14:textId="19E9BADD" w:rsidR="00FB34E2" w:rsidRPr="00514F87" w:rsidRDefault="00FB34E2" w:rsidP="00FB34E2">
      <w:pPr>
        <w:pStyle w:val="ListNumber"/>
        <w:widowControl w:val="0"/>
        <w:jc w:val="both"/>
        <w:rPr>
          <w:rFonts w:ascii="Arial" w:hAnsi="Arial" w:cs="Arial"/>
          <w:lang w:val="en-GB"/>
        </w:rPr>
      </w:pPr>
      <w:bookmarkStart w:id="90" w:name="_Toc7618084"/>
      <w:r w:rsidRPr="00514F87">
        <w:rPr>
          <w:rFonts w:ascii="Arial" w:hAnsi="Arial" w:cs="Arial"/>
          <w:lang w:val="en-GB"/>
        </w:rPr>
        <w:t xml:space="preserve">CWPC is seeking to determine what size and type of housing would be best suited to the local community. The </w:t>
      </w:r>
      <w:r w:rsidR="00514F87" w:rsidRPr="00514F87">
        <w:rPr>
          <w:rFonts w:ascii="Arial" w:hAnsi="Arial" w:cs="Arial"/>
          <w:lang w:val="en-GB"/>
        </w:rPr>
        <w:t xml:space="preserve">Parish </w:t>
      </w:r>
      <w:r w:rsidRPr="00514F87">
        <w:rPr>
          <w:rFonts w:ascii="Arial" w:hAnsi="Arial" w:cs="Arial"/>
          <w:lang w:val="en-GB"/>
        </w:rPr>
        <w:t xml:space="preserve">Council wants to ensure that future developments give local people at all stages of life the options they require. </w:t>
      </w:r>
    </w:p>
    <w:p w14:paraId="59363230" w14:textId="36B26363" w:rsidR="00FB34E2" w:rsidRPr="00D56987" w:rsidRDefault="00FB34E2" w:rsidP="00D56987">
      <w:pPr>
        <w:pStyle w:val="ListNumber"/>
      </w:pPr>
      <w:r w:rsidRPr="00284BD9">
        <w:rPr>
          <w:lang w:val="en-GB"/>
        </w:rPr>
        <w:t xml:space="preserve">This section analyses existing housing provision and its suitability, focusing on demographic shifts in age and household composition, to address future as well as current community need. For this reason, we start with a consideration of type and size of dwelling within the existing housing stock in </w:t>
      </w:r>
      <w:r w:rsidR="00514F87">
        <w:rPr>
          <w:lang w:val="en-GB"/>
        </w:rPr>
        <w:t xml:space="preserve">the </w:t>
      </w:r>
      <w:r w:rsidRPr="00284BD9">
        <w:rPr>
          <w:lang w:val="en-GB"/>
        </w:rPr>
        <w:t>Parish. Next, demographic shifts in age and household composition will be considered. Finally, the future demand for housing by size and type will be determined</w:t>
      </w:r>
      <w:r>
        <w:rPr>
          <w:lang w:val="en-GB"/>
        </w:rPr>
        <w:t xml:space="preserve"> based on how</w:t>
      </w:r>
      <w:r w:rsidRPr="00284BD9">
        <w:rPr>
          <w:lang w:val="en-GB"/>
        </w:rPr>
        <w:t xml:space="preserve"> different household types currently occupy their dwellings in the District.</w:t>
      </w:r>
    </w:p>
    <w:p w14:paraId="26589868" w14:textId="2773BEAB" w:rsidR="00514F87" w:rsidRPr="00D56987" w:rsidRDefault="00514F87" w:rsidP="00D56987">
      <w:pPr>
        <w:pStyle w:val="ListNumber"/>
      </w:pPr>
      <w:r>
        <w:rPr>
          <w:lang w:val="en-GB"/>
        </w:rPr>
        <w:t>The key relevant data sources for this topic are the Census and the SHMAs</w:t>
      </w:r>
      <w:r w:rsidR="00933EF1">
        <w:rPr>
          <w:lang w:val="en-GB"/>
        </w:rPr>
        <w:t>, and both sources have been reviewed as appropriate</w:t>
      </w:r>
      <w:r>
        <w:rPr>
          <w:lang w:val="en-GB"/>
        </w:rPr>
        <w:t>.</w:t>
      </w:r>
    </w:p>
    <w:p w14:paraId="0F30301C" w14:textId="77777777" w:rsidR="00FB34E2" w:rsidRPr="00284BD9" w:rsidRDefault="00FB34E2" w:rsidP="00FB34E2">
      <w:pPr>
        <w:pStyle w:val="Heading2"/>
        <w:keepNext w:val="0"/>
        <w:keepLines w:val="0"/>
        <w:widowControl w:val="0"/>
        <w:ind w:left="993"/>
        <w:jc w:val="both"/>
      </w:pPr>
      <w:bookmarkStart w:id="91" w:name="_Toc532559198"/>
      <w:bookmarkStart w:id="92" w:name="_Toc536870862"/>
      <w:bookmarkStart w:id="93" w:name="_Toc7422209"/>
      <w:bookmarkStart w:id="94" w:name="_Toc7789746"/>
      <w:r w:rsidRPr="00284BD9">
        <w:t>Background and definitions</w:t>
      </w:r>
      <w:bookmarkEnd w:id="91"/>
      <w:bookmarkEnd w:id="92"/>
      <w:bookmarkEnd w:id="93"/>
      <w:bookmarkEnd w:id="94"/>
    </w:p>
    <w:p w14:paraId="46B25F63" w14:textId="77777777" w:rsidR="00FB34E2" w:rsidRPr="00284BD9" w:rsidRDefault="00FB34E2" w:rsidP="00FB34E2">
      <w:pPr>
        <w:pStyle w:val="ListNumber"/>
        <w:widowControl w:val="0"/>
        <w:jc w:val="both"/>
        <w:rPr>
          <w:lang w:val="en-GB"/>
        </w:rPr>
      </w:pPr>
      <w:r w:rsidRPr="00284BD9">
        <w:rPr>
          <w:lang w:val="en-GB"/>
        </w:rPr>
        <w:t xml:space="preserve">Before beginning our consideration of dwelling type and size, it is important to understand how different types of households occupy their homes. Crucially, </w:t>
      </w:r>
      <w:r>
        <w:rPr>
          <w:lang w:val="en-GB"/>
        </w:rPr>
        <w:t xml:space="preserve">and unsurprisingly, </w:t>
      </w:r>
      <w:r w:rsidRPr="00284BD9">
        <w:rPr>
          <w:lang w:val="en-GB"/>
        </w:rPr>
        <w:t xml:space="preserve">household ‘consumption’ of housing (in terms of housing size) tends to increase alongside wages, with the highest earning households consuming relatively more (i.e. larger) housing than those </w:t>
      </w:r>
      <w:r>
        <w:rPr>
          <w:lang w:val="en-GB"/>
        </w:rPr>
        <w:t>on</w:t>
      </w:r>
      <w:r w:rsidRPr="00284BD9">
        <w:rPr>
          <w:lang w:val="en-GB"/>
        </w:rPr>
        <w:t xml:space="preserve"> lower incomes. Similarly, housing consumption tends to increase, alongside wealth, income, and age, such that older households tend to have larger homes than younger households, often as a result of cost and affordability.</w:t>
      </w:r>
    </w:p>
    <w:p w14:paraId="4402422A" w14:textId="749BA228" w:rsidR="00FB34E2" w:rsidRPr="00284BD9" w:rsidRDefault="00FB34E2" w:rsidP="00FB34E2">
      <w:pPr>
        <w:pStyle w:val="ListNumber"/>
        <w:widowControl w:val="0"/>
        <w:jc w:val="both"/>
        <w:rPr>
          <w:lang w:val="en-GB"/>
        </w:rPr>
      </w:pPr>
      <w:r w:rsidRPr="00284BD9">
        <w:rPr>
          <w:lang w:val="en-GB"/>
        </w:rPr>
        <w:t xml:space="preserve">In this context, even smaller households (those with fewer than three inhabitants) may be able to choose to live in larger homes than they require, and thus would be defined in Census terms as under-occupying their homes. This is a natural feature of the housing market, and can distort considerations of future housing needs, with market dynamics and signals </w:t>
      </w:r>
      <w:r w:rsidR="00514F87">
        <w:rPr>
          <w:lang w:val="en-GB"/>
        </w:rPr>
        <w:t xml:space="preserve">having the potential to </w:t>
      </w:r>
      <w:r w:rsidRPr="00284BD9">
        <w:rPr>
          <w:lang w:val="en-GB"/>
        </w:rPr>
        <w:t>giv</w:t>
      </w:r>
      <w:r w:rsidR="00514F87">
        <w:rPr>
          <w:lang w:val="en-GB"/>
        </w:rPr>
        <w:t>e</w:t>
      </w:r>
      <w:r w:rsidRPr="00284BD9">
        <w:rPr>
          <w:lang w:val="en-GB"/>
        </w:rPr>
        <w:t xml:space="preserve"> a very different picture than demographics, household type and size would suggest for future years.</w:t>
      </w:r>
    </w:p>
    <w:p w14:paraId="25B11FFF" w14:textId="77777777" w:rsidR="00FB34E2" w:rsidRPr="00284BD9" w:rsidRDefault="00FB34E2" w:rsidP="00FB34E2">
      <w:pPr>
        <w:pStyle w:val="ListNumber"/>
        <w:widowControl w:val="0"/>
        <w:jc w:val="both"/>
        <w:rPr>
          <w:lang w:val="en-GB"/>
        </w:rPr>
      </w:pPr>
      <w:r w:rsidRPr="00284BD9">
        <w:rPr>
          <w:lang w:val="en-GB"/>
        </w:rPr>
        <w:t>In order to understand the terminology surrounding dwelling</w:t>
      </w:r>
      <w:r>
        <w:rPr>
          <w:lang w:val="en-GB"/>
        </w:rPr>
        <w:t xml:space="preserve"> </w:t>
      </w:r>
      <w:r w:rsidRPr="00284BD9">
        <w:rPr>
          <w:lang w:val="en-GB"/>
        </w:rPr>
        <w:t>s</w:t>
      </w:r>
      <w:r>
        <w:rPr>
          <w:lang w:val="en-GB"/>
        </w:rPr>
        <w:t>ize analysis</w:t>
      </w:r>
      <w:r w:rsidRPr="00284BD9">
        <w:rPr>
          <w:lang w:val="en-GB"/>
        </w:rPr>
        <w:t xml:space="preserve">, it is important to note </w:t>
      </w:r>
      <w:r>
        <w:rPr>
          <w:lang w:val="en-GB"/>
        </w:rPr>
        <w:t xml:space="preserve">that </w:t>
      </w:r>
      <w:r w:rsidRPr="00284BD9">
        <w:rPr>
          <w:lang w:val="en-GB"/>
        </w:rPr>
        <w:t xml:space="preserve">the number of rooms recorded in Census data excludes some rooms such as bathrooms, toilets and halls. </w:t>
      </w:r>
      <w:r>
        <w:rPr>
          <w:lang w:val="en-GB"/>
        </w:rPr>
        <w:t>D</w:t>
      </w:r>
      <w:r w:rsidRPr="00284BD9">
        <w:rPr>
          <w:lang w:val="en-GB"/>
        </w:rPr>
        <w:t xml:space="preserve">welling size </w:t>
      </w:r>
      <w:r>
        <w:rPr>
          <w:lang w:val="en-GB"/>
        </w:rPr>
        <w:t xml:space="preserve">data </w:t>
      </w:r>
      <w:r w:rsidRPr="00284BD9">
        <w:rPr>
          <w:lang w:val="en-GB"/>
        </w:rPr>
        <w:t xml:space="preserve">is collected </w:t>
      </w:r>
      <w:r>
        <w:rPr>
          <w:lang w:val="en-GB"/>
        </w:rPr>
        <w:t>by</w:t>
      </w:r>
      <w:r w:rsidRPr="00284BD9">
        <w:rPr>
          <w:lang w:val="en-GB"/>
        </w:rPr>
        <w:t xml:space="preserve"> </w:t>
      </w:r>
      <w:r>
        <w:rPr>
          <w:lang w:val="en-GB"/>
        </w:rPr>
        <w:t xml:space="preserve">determining </w:t>
      </w:r>
      <w:r w:rsidRPr="00284BD9">
        <w:rPr>
          <w:lang w:val="en-GB"/>
        </w:rPr>
        <w:t xml:space="preserve">the number of rooms being occupied by each household. In the section that follows, ‘dwelling sizes’ should </w:t>
      </w:r>
      <w:r>
        <w:rPr>
          <w:lang w:val="en-GB"/>
        </w:rPr>
        <w:t xml:space="preserve">thus </w:t>
      </w:r>
      <w:r w:rsidRPr="00284BD9">
        <w:rPr>
          <w:lang w:val="en-GB"/>
        </w:rPr>
        <w:t>be translated as follows</w:t>
      </w:r>
      <w:r w:rsidRPr="00284BD9">
        <w:rPr>
          <w:rStyle w:val="FootnoteReference"/>
          <w:rFonts w:ascii="Arial" w:hAnsi="Arial" w:cs="Arial"/>
          <w:color w:val="000000" w:themeColor="text1"/>
          <w:sz w:val="22"/>
          <w:szCs w:val="22"/>
          <w:lang w:val="en-GB"/>
        </w:rPr>
        <w:footnoteReference w:id="17"/>
      </w:r>
      <w:r w:rsidRPr="00284BD9">
        <w:rPr>
          <w:lang w:val="en-GB"/>
        </w:rPr>
        <w:t>:</w:t>
      </w:r>
    </w:p>
    <w:p w14:paraId="17255234" w14:textId="77777777" w:rsidR="00FB34E2" w:rsidRPr="00284BD9" w:rsidRDefault="00FB34E2" w:rsidP="00FB34E2">
      <w:pPr>
        <w:pStyle w:val="ListBullet"/>
        <w:widowControl w:val="0"/>
        <w:tabs>
          <w:tab w:val="clear" w:pos="850"/>
          <w:tab w:val="num" w:pos="1145"/>
        </w:tabs>
        <w:spacing w:after="0"/>
        <w:ind w:left="1145"/>
        <w:jc w:val="both"/>
      </w:pPr>
      <w:r w:rsidRPr="00284BD9">
        <w:t>1 room = bedsit</w:t>
      </w:r>
    </w:p>
    <w:p w14:paraId="0DCF6332" w14:textId="77777777" w:rsidR="00FB34E2" w:rsidRPr="00284BD9" w:rsidRDefault="00FB34E2" w:rsidP="00FB34E2">
      <w:pPr>
        <w:pStyle w:val="ListBullet"/>
        <w:widowControl w:val="0"/>
        <w:tabs>
          <w:tab w:val="clear" w:pos="850"/>
          <w:tab w:val="num" w:pos="1145"/>
        </w:tabs>
        <w:spacing w:after="0"/>
        <w:ind w:left="1145"/>
        <w:jc w:val="both"/>
      </w:pPr>
      <w:r w:rsidRPr="00284BD9">
        <w:t>2 rooms = flat/house with one bedroom and a reception room/kitchen</w:t>
      </w:r>
    </w:p>
    <w:p w14:paraId="681D2185" w14:textId="77777777" w:rsidR="00FB34E2" w:rsidRPr="00284BD9" w:rsidRDefault="00FB34E2" w:rsidP="00FB34E2">
      <w:pPr>
        <w:pStyle w:val="ListBullet"/>
        <w:widowControl w:val="0"/>
        <w:tabs>
          <w:tab w:val="clear" w:pos="850"/>
          <w:tab w:val="num" w:pos="1145"/>
        </w:tabs>
        <w:spacing w:after="0"/>
        <w:ind w:left="1145"/>
        <w:jc w:val="both"/>
      </w:pPr>
      <w:r w:rsidRPr="00284BD9">
        <w:t>3 rooms = flat/house 1-2 bedrooms and one reception room and/or kitchen</w:t>
      </w:r>
    </w:p>
    <w:p w14:paraId="409BD989" w14:textId="77777777" w:rsidR="00FB34E2" w:rsidRPr="00284BD9" w:rsidRDefault="00FB34E2" w:rsidP="00FB34E2">
      <w:pPr>
        <w:pStyle w:val="ListBullet"/>
        <w:widowControl w:val="0"/>
        <w:tabs>
          <w:tab w:val="clear" w:pos="850"/>
          <w:tab w:val="num" w:pos="1145"/>
        </w:tabs>
        <w:spacing w:after="0"/>
        <w:ind w:left="1145"/>
        <w:jc w:val="both"/>
      </w:pPr>
      <w:r w:rsidRPr="00284BD9">
        <w:t>4 rooms = flat/house with 2 bedroom, one reception room and one kitchen</w:t>
      </w:r>
    </w:p>
    <w:p w14:paraId="35F53E07" w14:textId="77777777" w:rsidR="00FB34E2" w:rsidRPr="00284BD9" w:rsidRDefault="00FB34E2" w:rsidP="00FB34E2">
      <w:pPr>
        <w:pStyle w:val="ListBullet"/>
        <w:widowControl w:val="0"/>
        <w:tabs>
          <w:tab w:val="clear" w:pos="850"/>
          <w:tab w:val="num" w:pos="1145"/>
        </w:tabs>
        <w:spacing w:after="0"/>
        <w:ind w:left="1145"/>
        <w:jc w:val="both"/>
      </w:pPr>
      <w:r w:rsidRPr="00284BD9">
        <w:t>5 rooms = flat/house with 3 bedrooms, one reception room and one kitchen</w:t>
      </w:r>
    </w:p>
    <w:p w14:paraId="1C59638B" w14:textId="77777777" w:rsidR="00FB34E2" w:rsidRPr="00284BD9" w:rsidRDefault="00FB34E2" w:rsidP="00FB34E2">
      <w:pPr>
        <w:pStyle w:val="ListBullet"/>
        <w:widowControl w:val="0"/>
        <w:tabs>
          <w:tab w:val="clear" w:pos="850"/>
          <w:tab w:val="num" w:pos="1145"/>
        </w:tabs>
        <w:spacing w:after="0"/>
        <w:ind w:left="1145"/>
        <w:jc w:val="both"/>
      </w:pPr>
      <w:r w:rsidRPr="00284BD9">
        <w:t>6 rooms = house with 2 bedrooms and 2 reception rooms and a kitchen, or 3 bedrooms and one reception room and a kitchen</w:t>
      </w:r>
    </w:p>
    <w:p w14:paraId="2C4C8C89" w14:textId="77777777" w:rsidR="00FB34E2" w:rsidRDefault="00FB34E2" w:rsidP="00FB34E2">
      <w:pPr>
        <w:pStyle w:val="ListBullet"/>
        <w:widowControl w:val="0"/>
        <w:tabs>
          <w:tab w:val="clear" w:pos="850"/>
          <w:tab w:val="num" w:pos="1145"/>
        </w:tabs>
        <w:spacing w:after="0"/>
        <w:ind w:left="1145"/>
        <w:jc w:val="both"/>
      </w:pPr>
      <w:r w:rsidRPr="00284BD9">
        <w:t>7+ rooms = house with 3, 4 or more bedrooms</w:t>
      </w:r>
    </w:p>
    <w:p w14:paraId="4EBAC9E5" w14:textId="77777777" w:rsidR="00DB07B5" w:rsidRDefault="00DB07B5" w:rsidP="00D56987">
      <w:pPr>
        <w:pStyle w:val="ListBullet"/>
        <w:widowControl w:val="0"/>
        <w:numPr>
          <w:ilvl w:val="0"/>
          <w:numId w:val="0"/>
        </w:numPr>
        <w:spacing w:after="0"/>
        <w:ind w:left="850" w:hanging="425"/>
        <w:jc w:val="both"/>
      </w:pPr>
    </w:p>
    <w:p w14:paraId="59921F94" w14:textId="512849CF" w:rsidR="00DB07B5" w:rsidRDefault="00DB07B5" w:rsidP="00D56987">
      <w:pPr>
        <w:pStyle w:val="ListNumber"/>
        <w:widowControl w:val="0"/>
        <w:jc w:val="both"/>
        <w:rPr>
          <w:lang w:val="en-GB"/>
        </w:rPr>
      </w:pPr>
      <w:r>
        <w:rPr>
          <w:lang w:val="en-GB"/>
        </w:rPr>
        <w:t>It is also useful to clarify the Census terminology around ‘dwellings’ and ‘household spaces’. These can be confusing where different terminologies such as flats, apartments, shared and communal dwellings, and houses in multiple occupation, are used. Dwellings are counted in the Census by combining address information with Census returns on whether people’s accommodation is self-contained.</w:t>
      </w:r>
      <w:r w:rsidRPr="00DB07B5">
        <w:rPr>
          <w:vertAlign w:val="superscript"/>
          <w:lang w:val="en-GB"/>
        </w:rPr>
        <w:footnoteReference w:id="18"/>
      </w:r>
      <w:r>
        <w:rPr>
          <w:lang w:val="en-GB"/>
        </w:rPr>
        <w:t xml:space="preserve">  As such, all dwellings are classified into either “shared” or “unshared” dwellings. ‘Household spaces’ make up the individual accommodation units forming part of a shared dwelling.</w:t>
      </w:r>
    </w:p>
    <w:p w14:paraId="55D25B76" w14:textId="77777777" w:rsidR="00DB07B5" w:rsidRDefault="00DB07B5" w:rsidP="00D56987">
      <w:pPr>
        <w:pStyle w:val="ListNumber"/>
        <w:widowControl w:val="0"/>
        <w:jc w:val="both"/>
        <w:rPr>
          <w:lang w:val="en-GB"/>
        </w:rPr>
      </w:pPr>
      <w:r>
        <w:rPr>
          <w:lang w:val="en-GB"/>
        </w:rPr>
        <w:lastRenderedPageBreak/>
        <w:t>The key measure of whether a dwelling is shared or unshared relates to the Census’ definition of a household. A household is defined as “</w:t>
      </w:r>
      <w:r w:rsidRPr="00D56987">
        <w:rPr>
          <w:lang w:val="en-GB"/>
        </w:rPr>
        <w:t>One person living alone or a group of people (not necessarily related) living at the same address who share cooking facilities and share a living room or sitting room or dining area.</w:t>
      </w:r>
      <w:r>
        <w:rPr>
          <w:lang w:val="en-GB"/>
        </w:rPr>
        <w:t>”</w:t>
      </w:r>
      <w:r w:rsidRPr="00DB07B5">
        <w:rPr>
          <w:vertAlign w:val="superscript"/>
          <w:lang w:val="en-GB"/>
        </w:rPr>
        <w:footnoteReference w:id="19"/>
      </w:r>
      <w:r w:rsidRPr="00D56987">
        <w:rPr>
          <w:vertAlign w:val="superscript"/>
          <w:lang w:val="en-GB"/>
        </w:rPr>
        <w:t xml:space="preserve"> </w:t>
      </w:r>
      <w:r>
        <w:rPr>
          <w:lang w:val="en-GB"/>
        </w:rPr>
        <w:t>On this basis, where unrelated residents of a dwelling share rooms other than a kitchen, this would be considered a single household in an unshared dwelling, whilst where only a kitchen is shared, each resident would be considered their own household, and the dwelling would be considered shared.</w:t>
      </w:r>
    </w:p>
    <w:p w14:paraId="68FC7067" w14:textId="01571C14" w:rsidR="00DB07B5" w:rsidRPr="00DB07B5" w:rsidRDefault="00DB07B5" w:rsidP="00D56987">
      <w:pPr>
        <w:pStyle w:val="ListNumber"/>
        <w:widowControl w:val="0"/>
        <w:jc w:val="both"/>
      </w:pPr>
      <w:r>
        <w:rPr>
          <w:lang w:val="en-GB"/>
        </w:rPr>
        <w:t>Whilst it is unlikely that these issues are of specific relevance to Copdock and Washbrook, given that their main applicability is to students and other people likely to be sharing homes, it is still helpful to understand the terms as a background to the data in this chapter.</w:t>
      </w:r>
    </w:p>
    <w:p w14:paraId="0BBA91BE" w14:textId="12D4F566" w:rsidR="006E5E1E" w:rsidRDefault="006E5E1E" w:rsidP="006E5E1E">
      <w:pPr>
        <w:pStyle w:val="Heading2"/>
        <w:ind w:left="993"/>
      </w:pPr>
      <w:bookmarkStart w:id="95" w:name="_Toc7789747"/>
      <w:r w:rsidRPr="00D56987">
        <w:t>Existing types</w:t>
      </w:r>
      <w:r w:rsidR="00BA080E">
        <w:t xml:space="preserve"> </w:t>
      </w:r>
      <w:r w:rsidRPr="00D56987">
        <w:t>and sizes</w:t>
      </w:r>
      <w:bookmarkEnd w:id="90"/>
      <w:bookmarkEnd w:id="95"/>
    </w:p>
    <w:p w14:paraId="1A7AE328" w14:textId="518B4E8C" w:rsidR="00BA080E" w:rsidRPr="00B1484E" w:rsidRDefault="00BA080E" w:rsidP="00BA080E">
      <w:pPr>
        <w:pStyle w:val="Heading3"/>
        <w:jc w:val="both"/>
      </w:pPr>
      <w:bookmarkStart w:id="96" w:name="_Toc6900779"/>
      <w:bookmarkStart w:id="97" w:name="_Toc7789748"/>
      <w:r w:rsidRPr="00B1484E">
        <w:t>Data from SHMA Part 2</w:t>
      </w:r>
      <w:bookmarkEnd w:id="96"/>
      <w:r>
        <w:t xml:space="preserve"> and its partial update</w:t>
      </w:r>
      <w:bookmarkEnd w:id="97"/>
    </w:p>
    <w:p w14:paraId="77692D80" w14:textId="770BBBE9" w:rsidR="00BA080E" w:rsidRDefault="00BA080E" w:rsidP="00D56987">
      <w:pPr>
        <w:widowControl w:val="0"/>
        <w:numPr>
          <w:ilvl w:val="0"/>
          <w:numId w:val="15"/>
        </w:numPr>
        <w:tabs>
          <w:tab w:val="clear" w:pos="284"/>
        </w:tabs>
        <w:spacing w:before="60" w:after="120" w:line="276" w:lineRule="auto"/>
        <w:jc w:val="both"/>
        <w:rPr>
          <w:rFonts w:ascii="Arial" w:eastAsia="Times New Roman" w:hAnsi="Arial" w:cs="Arial"/>
          <w:color w:val="000000"/>
          <w:kern w:val="0"/>
          <w:szCs w:val="22"/>
          <w:lang w:val="en-US" w:eastAsia="en-GB"/>
        </w:rPr>
      </w:pPr>
      <w:r w:rsidRPr="00B1484E">
        <w:rPr>
          <w:rFonts w:ascii="Arial" w:eastAsia="Times New Roman" w:hAnsi="Arial" w:cs="Arial"/>
          <w:color w:val="000000"/>
          <w:kern w:val="0"/>
          <w:szCs w:val="22"/>
          <w:lang w:val="en-US" w:eastAsia="en-GB"/>
        </w:rPr>
        <w:t xml:space="preserve">The </w:t>
      </w:r>
      <w:r>
        <w:rPr>
          <w:rFonts w:ascii="Arial" w:eastAsia="Times New Roman" w:hAnsi="Arial" w:cs="Arial"/>
          <w:color w:val="000000"/>
          <w:kern w:val="0"/>
          <w:szCs w:val="22"/>
          <w:lang w:val="en-US" w:eastAsia="en-GB"/>
        </w:rPr>
        <w:t xml:space="preserve">Ipswich and Waveney </w:t>
      </w:r>
      <w:r w:rsidRPr="00B1484E">
        <w:rPr>
          <w:rFonts w:ascii="Arial" w:eastAsia="Times New Roman" w:hAnsi="Arial" w:cs="Arial"/>
          <w:color w:val="000000"/>
          <w:kern w:val="0"/>
          <w:szCs w:val="22"/>
          <w:lang w:val="en-US" w:eastAsia="en-GB"/>
        </w:rPr>
        <w:t>SHMA Part 2</w:t>
      </w:r>
      <w:r>
        <w:rPr>
          <w:rFonts w:ascii="Arial" w:eastAsia="Times New Roman" w:hAnsi="Arial" w:cs="Arial"/>
          <w:color w:val="000000"/>
          <w:kern w:val="0"/>
          <w:szCs w:val="22"/>
          <w:lang w:val="en-US" w:eastAsia="en-GB"/>
        </w:rPr>
        <w:t xml:space="preserve"> (2017) and its 2019 partial update both contain a range of data relevant to answering RQ2, which can be summarised as follows:</w:t>
      </w:r>
    </w:p>
    <w:p w14:paraId="19037BA4" w14:textId="3C48ECDB" w:rsidR="00BA080E" w:rsidRDefault="00BA080E" w:rsidP="00BA080E">
      <w:pPr>
        <w:pStyle w:val="ListBullet"/>
        <w:tabs>
          <w:tab w:val="clear" w:pos="850"/>
          <w:tab w:val="num" w:pos="1145"/>
        </w:tabs>
        <w:ind w:left="1145"/>
        <w:rPr>
          <w:lang w:val="en-US" w:eastAsia="en-GB"/>
        </w:rPr>
      </w:pPr>
      <w:r>
        <w:rPr>
          <w:lang w:val="en-US" w:eastAsia="en-GB"/>
        </w:rPr>
        <w:t xml:space="preserve">Babergh records a particularly high level of self-employment (this is relevant to </w:t>
      </w:r>
      <w:r w:rsidR="00BC251E">
        <w:rPr>
          <w:lang w:val="en-US" w:eastAsia="en-GB"/>
        </w:rPr>
        <w:t xml:space="preserve">baseline </w:t>
      </w:r>
      <w:r>
        <w:rPr>
          <w:lang w:val="en-US" w:eastAsia="en-GB"/>
        </w:rPr>
        <w:t>house size as self-employed people are more likely to work from home and therefore, as a rule, tend to occupy larger houses);</w:t>
      </w:r>
    </w:p>
    <w:p w14:paraId="1B99EABB" w14:textId="6DF06083" w:rsidR="00BA080E" w:rsidRDefault="00BA080E" w:rsidP="00BA080E">
      <w:pPr>
        <w:pStyle w:val="ListBullet"/>
        <w:tabs>
          <w:tab w:val="clear" w:pos="850"/>
          <w:tab w:val="num" w:pos="1145"/>
        </w:tabs>
        <w:ind w:left="1145"/>
        <w:rPr>
          <w:lang w:val="en-US" w:eastAsia="en-GB"/>
        </w:rPr>
      </w:pPr>
      <w:r>
        <w:rPr>
          <w:lang w:val="en-US" w:eastAsia="en-GB"/>
        </w:rPr>
        <w:t>Babergh has a relatively high level of older persons only households (which is likely to translate into future demand for smaller dwellings)</w:t>
      </w:r>
      <w:r w:rsidR="0033125C">
        <w:rPr>
          <w:lang w:val="en-US" w:eastAsia="en-GB"/>
        </w:rPr>
        <w:t>;</w:t>
      </w:r>
    </w:p>
    <w:p w14:paraId="792079DF" w14:textId="16EA79A2" w:rsidR="0033125C" w:rsidRDefault="0033125C" w:rsidP="00BA080E">
      <w:pPr>
        <w:pStyle w:val="ListBullet"/>
        <w:tabs>
          <w:tab w:val="clear" w:pos="850"/>
          <w:tab w:val="num" w:pos="1145"/>
        </w:tabs>
        <w:ind w:left="1145"/>
        <w:rPr>
          <w:lang w:val="en-US" w:eastAsia="en-GB"/>
        </w:rPr>
      </w:pPr>
      <w:r>
        <w:rPr>
          <w:lang w:val="en-US" w:eastAsia="en-GB"/>
        </w:rPr>
        <w:t xml:space="preserve">SHMA Part 2 </w:t>
      </w:r>
      <w:r w:rsidR="00BC251E">
        <w:rPr>
          <w:lang w:val="en-US" w:eastAsia="en-GB"/>
        </w:rPr>
        <w:t xml:space="preserve">Partial Update </w:t>
      </w:r>
      <w:r>
        <w:rPr>
          <w:lang w:val="en-US" w:eastAsia="en-GB"/>
        </w:rPr>
        <w:t xml:space="preserve">Table 4.4c indicates that by 2036, and for owner-occupied properties only, Babergh as a whole will need </w:t>
      </w:r>
      <w:r w:rsidR="00BC251E">
        <w:rPr>
          <w:lang w:val="en-US" w:eastAsia="en-GB"/>
        </w:rPr>
        <w:t>12.2</w:t>
      </w:r>
      <w:r>
        <w:rPr>
          <w:lang w:val="en-US" w:eastAsia="en-GB"/>
        </w:rPr>
        <w:t xml:space="preserve">% more one bedroom dwellings, </w:t>
      </w:r>
      <w:r w:rsidR="00BC251E">
        <w:rPr>
          <w:lang w:val="en-US" w:eastAsia="en-GB"/>
        </w:rPr>
        <w:t>36.1</w:t>
      </w:r>
      <w:r>
        <w:rPr>
          <w:lang w:val="en-US" w:eastAsia="en-GB"/>
        </w:rPr>
        <w:t xml:space="preserve">% more two bedroom, </w:t>
      </w:r>
      <w:r w:rsidR="00BC251E">
        <w:rPr>
          <w:lang w:val="en-US" w:eastAsia="en-GB"/>
        </w:rPr>
        <w:t>30.2</w:t>
      </w:r>
      <w:r>
        <w:rPr>
          <w:lang w:val="en-US" w:eastAsia="en-GB"/>
        </w:rPr>
        <w:t>% more three bedroom</w:t>
      </w:r>
      <w:r w:rsidR="00BC251E">
        <w:rPr>
          <w:lang w:val="en-US" w:eastAsia="en-GB"/>
        </w:rPr>
        <w:t xml:space="preserve"> and 21.5</w:t>
      </w:r>
      <w:r>
        <w:rPr>
          <w:lang w:val="en-US" w:eastAsia="en-GB"/>
        </w:rPr>
        <w:t xml:space="preserve">% more four plus bedroom properties- therefore, demand seems highest for </w:t>
      </w:r>
      <w:r w:rsidR="00BC251E">
        <w:rPr>
          <w:lang w:val="en-US" w:eastAsia="en-GB"/>
        </w:rPr>
        <w:t xml:space="preserve">two- and </w:t>
      </w:r>
      <w:r>
        <w:rPr>
          <w:lang w:val="en-US" w:eastAsia="en-GB"/>
        </w:rPr>
        <w:t>three-bedroom properties, which can be thought of a</w:t>
      </w:r>
      <w:r w:rsidR="00BC251E">
        <w:rPr>
          <w:lang w:val="en-US" w:eastAsia="en-GB"/>
        </w:rPr>
        <w:t>s small and medium-sized houses;.</w:t>
      </w:r>
    </w:p>
    <w:p w14:paraId="0F75CAAB" w14:textId="68512201" w:rsidR="006E5E1E" w:rsidRPr="00D56987" w:rsidRDefault="00BA080E" w:rsidP="00D56987">
      <w:pPr>
        <w:pStyle w:val="Heading3"/>
        <w:jc w:val="both"/>
        <w:rPr>
          <w:webHidden/>
        </w:rPr>
      </w:pPr>
      <w:bookmarkStart w:id="98" w:name="_Toc7789749"/>
      <w:bookmarkStart w:id="99" w:name="_Toc7789750"/>
      <w:bookmarkEnd w:id="98"/>
      <w:r>
        <w:t xml:space="preserve">Data from Census- </w:t>
      </w:r>
      <w:r w:rsidR="006E5E1E" w:rsidRPr="00D56987">
        <w:t>Type</w:t>
      </w:r>
      <w:bookmarkEnd w:id="99"/>
    </w:p>
    <w:p w14:paraId="06B5922F" w14:textId="7101BB4B" w:rsidR="001E7776" w:rsidRPr="001E7776" w:rsidRDefault="001E7776" w:rsidP="00D56987">
      <w:pPr>
        <w:pStyle w:val="ListNumber"/>
        <w:jc w:val="both"/>
      </w:pPr>
      <w:r w:rsidRPr="00D56987">
        <w:rPr>
          <w:webHidden/>
        </w:rPr>
        <w:fldChar w:fldCharType="begin"/>
      </w:r>
      <w:r w:rsidRPr="00933EF1">
        <w:rPr>
          <w:webHidden/>
        </w:rPr>
        <w:instrText xml:space="preserve"> REF _Ref525030934 \h </w:instrText>
      </w:r>
      <w:r w:rsidR="00933EF1" w:rsidRPr="00933EF1">
        <w:rPr>
          <w:webHidden/>
        </w:rPr>
        <w:instrText xml:space="preserve"> \* MERGEFORMAT </w:instrText>
      </w:r>
      <w:r w:rsidRPr="00D56987">
        <w:rPr>
          <w:webHidden/>
        </w:rPr>
      </w:r>
      <w:r w:rsidRPr="00D56987">
        <w:rPr>
          <w:webHidden/>
        </w:rPr>
        <w:fldChar w:fldCharType="separate"/>
      </w:r>
      <w:r w:rsidR="004F6699" w:rsidRPr="00D56987">
        <w:rPr>
          <w:rFonts w:asciiTheme="majorHAnsi" w:hAnsiTheme="majorHAnsi"/>
          <w:bCs/>
        </w:rPr>
        <w:t xml:space="preserve">Table </w:t>
      </w:r>
      <w:r w:rsidR="004F6699" w:rsidRPr="00D56987">
        <w:rPr>
          <w:rFonts w:asciiTheme="majorHAnsi" w:hAnsiTheme="majorHAnsi"/>
          <w:bCs/>
          <w:noProof/>
        </w:rPr>
        <w:t>5</w:t>
      </w:r>
      <w:r w:rsidR="004F6699" w:rsidRPr="00D56987">
        <w:rPr>
          <w:rFonts w:asciiTheme="majorHAnsi" w:hAnsiTheme="majorHAnsi"/>
          <w:bCs/>
        </w:rPr>
        <w:noBreakHyphen/>
      </w:r>
      <w:r w:rsidR="004F6699" w:rsidRPr="00D56987">
        <w:rPr>
          <w:rFonts w:asciiTheme="majorHAnsi" w:hAnsiTheme="majorHAnsi"/>
          <w:bCs/>
          <w:noProof/>
        </w:rPr>
        <w:t>1</w:t>
      </w:r>
      <w:r w:rsidRPr="00D56987">
        <w:rPr>
          <w:webHidden/>
        </w:rPr>
        <w:fldChar w:fldCharType="end"/>
      </w:r>
      <w:r w:rsidRPr="00933EF1">
        <w:rPr>
          <w:webHidden/>
        </w:rPr>
        <w:t xml:space="preserve"> </w:t>
      </w:r>
      <w:r w:rsidRPr="001E7776">
        <w:rPr>
          <w:webHidden/>
        </w:rPr>
        <w:t xml:space="preserve">below shows the mix of types of dwelling in the NA and how this compares with district and national geographies. </w:t>
      </w:r>
    </w:p>
    <w:p w14:paraId="7EB5CB78" w14:textId="7D4791C8" w:rsidR="001E7776" w:rsidRPr="00C50C6A" w:rsidRDefault="001E7776" w:rsidP="00D56987">
      <w:pPr>
        <w:pStyle w:val="ListNumber"/>
        <w:jc w:val="both"/>
        <w:rPr>
          <w:webHidden/>
        </w:rPr>
      </w:pPr>
      <w:r w:rsidRPr="00C50C6A">
        <w:rPr>
          <w:webHidden/>
        </w:rPr>
        <w:t xml:space="preserve">The dwelling mix in </w:t>
      </w:r>
      <w:r w:rsidR="00A61EB3" w:rsidRPr="00C50C6A">
        <w:rPr>
          <w:webHidden/>
        </w:rPr>
        <w:t>Copdock and Washbrook</w:t>
      </w:r>
      <w:r w:rsidRPr="00C50C6A">
        <w:rPr>
          <w:webHidden/>
        </w:rPr>
        <w:t xml:space="preserve"> </w:t>
      </w:r>
      <w:r w:rsidR="00933EF1">
        <w:rPr>
          <w:webHidden/>
        </w:rPr>
        <w:t xml:space="preserve">contrasts with that </w:t>
      </w:r>
      <w:r w:rsidRPr="00C50C6A">
        <w:rPr>
          <w:webHidden/>
        </w:rPr>
        <w:t>of the wider District</w:t>
      </w:r>
      <w:r w:rsidR="00C50C6A" w:rsidRPr="00C50C6A">
        <w:rPr>
          <w:webHidden/>
        </w:rPr>
        <w:t xml:space="preserve"> of Babergh, </w:t>
      </w:r>
      <w:r w:rsidR="00933EF1">
        <w:rPr>
          <w:webHidden/>
        </w:rPr>
        <w:t xml:space="preserve">showing a more ‘rural’ profile (i.e. </w:t>
      </w:r>
      <w:r w:rsidR="00C50C6A" w:rsidRPr="00C50C6A">
        <w:rPr>
          <w:webHidden/>
        </w:rPr>
        <w:t xml:space="preserve">a higher share of detached homes and </w:t>
      </w:r>
      <w:r w:rsidR="00933EF1">
        <w:rPr>
          <w:webHidden/>
        </w:rPr>
        <w:t xml:space="preserve">a </w:t>
      </w:r>
      <w:r w:rsidR="00C50C6A" w:rsidRPr="00C50C6A">
        <w:rPr>
          <w:webHidden/>
        </w:rPr>
        <w:t>lower share of terraced homes</w:t>
      </w:r>
      <w:r w:rsidR="00FA3B56">
        <w:rPr>
          <w:webHidden/>
        </w:rPr>
        <w:t>, as well as hardly any flats</w:t>
      </w:r>
      <w:r w:rsidR="00933EF1">
        <w:rPr>
          <w:webHidden/>
        </w:rPr>
        <w:t>)</w:t>
      </w:r>
      <w:r w:rsidRPr="00C50C6A">
        <w:rPr>
          <w:webHidden/>
        </w:rPr>
        <w:t xml:space="preserve">. </w:t>
      </w:r>
      <w:r w:rsidR="00C50C6A" w:rsidRPr="00C50C6A">
        <w:rPr>
          <w:webHidden/>
        </w:rPr>
        <w:t>The most common</w:t>
      </w:r>
      <w:r w:rsidR="00933EF1">
        <w:rPr>
          <w:webHidden/>
        </w:rPr>
        <w:t xml:space="preserve"> </w:t>
      </w:r>
      <w:r w:rsidR="00C50C6A" w:rsidRPr="00C50C6A">
        <w:rPr>
          <w:webHidden/>
        </w:rPr>
        <w:t>dwelling type is detached homes which make up over half of all accommodation types.</w:t>
      </w:r>
    </w:p>
    <w:p w14:paraId="1F4BB5DA" w14:textId="672399A6" w:rsidR="001E7776" w:rsidRPr="001E7776" w:rsidRDefault="001E7776" w:rsidP="001E7776">
      <w:pPr>
        <w:keepNext/>
        <w:spacing w:after="120"/>
        <w:ind w:left="425"/>
        <w:rPr>
          <w:rFonts w:asciiTheme="majorHAnsi" w:hAnsiTheme="majorHAnsi"/>
          <w:b/>
          <w:bCs/>
          <w:color w:val="00B5E2" w:themeColor="accent1"/>
          <w:sz w:val="20"/>
        </w:rPr>
      </w:pPr>
      <w:bookmarkStart w:id="100" w:name="_Ref525030934"/>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1</w:t>
      </w:r>
      <w:r w:rsidRPr="001E7776">
        <w:rPr>
          <w:rFonts w:asciiTheme="majorHAnsi" w:hAnsiTheme="majorHAnsi"/>
          <w:b/>
          <w:bCs/>
          <w:noProof/>
          <w:color w:val="00B5E2" w:themeColor="accent1"/>
          <w:sz w:val="20"/>
        </w:rPr>
        <w:fldChar w:fldCharType="end"/>
      </w:r>
      <w:bookmarkEnd w:id="100"/>
      <w:r w:rsidRPr="001E7776">
        <w:rPr>
          <w:rFonts w:asciiTheme="majorHAnsi" w:hAnsiTheme="majorHAnsi"/>
          <w:b/>
          <w:bCs/>
          <w:color w:val="00B5E2" w:themeColor="accent1"/>
          <w:sz w:val="20"/>
        </w:rPr>
        <w:t xml:space="preserve">: Accommodation type (households)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2011</w:t>
      </w:r>
    </w:p>
    <w:tbl>
      <w:tblPr>
        <w:tblW w:w="4928" w:type="pct"/>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466"/>
        <w:gridCol w:w="3236"/>
        <w:gridCol w:w="2387"/>
        <w:gridCol w:w="873"/>
        <w:gridCol w:w="843"/>
      </w:tblGrid>
      <w:tr w:rsidR="001E7776" w:rsidRPr="001E7776" w14:paraId="6B06BEE1" w14:textId="77777777" w:rsidTr="00A61EB3">
        <w:trPr>
          <w:trHeight w:val="286"/>
        </w:trPr>
        <w:tc>
          <w:tcPr>
            <w:tcW w:w="1258" w:type="pct"/>
            <w:shd w:val="clear" w:color="auto" w:fill="000000"/>
            <w:noWrap/>
            <w:vAlign w:val="center"/>
            <w:hideMark/>
          </w:tcPr>
          <w:p w14:paraId="368C3E64" w14:textId="77777777" w:rsidR="001E7776" w:rsidRPr="001E7776" w:rsidRDefault="001E7776" w:rsidP="001E7776">
            <w:pPr>
              <w:spacing w:line="240" w:lineRule="auto"/>
              <w:rPr>
                <w:rFonts w:eastAsia="Times New Roman" w:cs="Arial"/>
                <w:b/>
                <w:bCs/>
                <w:color w:val="FFFFFF"/>
                <w:lang w:eastAsia="en-GB"/>
              </w:rPr>
            </w:pPr>
            <w:r w:rsidRPr="001E7776">
              <w:rPr>
                <w:rFonts w:eastAsia="Times New Roman" w:cs="Arial"/>
                <w:b/>
                <w:bCs/>
                <w:color w:val="FFFFFF"/>
                <w:lang w:eastAsia="en-GB"/>
              </w:rPr>
              <w:t>Dwelling type</w:t>
            </w:r>
          </w:p>
        </w:tc>
        <w:tc>
          <w:tcPr>
            <w:tcW w:w="1650" w:type="pct"/>
            <w:shd w:val="clear" w:color="auto" w:fill="000000"/>
            <w:noWrap/>
            <w:hideMark/>
          </w:tcPr>
          <w:p w14:paraId="3D426622" w14:textId="77777777" w:rsidR="001E7776" w:rsidRPr="001E7776" w:rsidRDefault="001E7776" w:rsidP="001E7776">
            <w:pPr>
              <w:spacing w:line="240" w:lineRule="auto"/>
              <w:rPr>
                <w:rFonts w:eastAsia="Times New Roman" w:cs="Arial"/>
                <w:b/>
                <w:bCs/>
                <w:color w:val="FFFFFF"/>
                <w:lang w:eastAsia="en-GB"/>
              </w:rPr>
            </w:pPr>
          </w:p>
        </w:tc>
        <w:tc>
          <w:tcPr>
            <w:tcW w:w="1217" w:type="pct"/>
            <w:shd w:val="clear" w:color="auto" w:fill="000000"/>
            <w:noWrap/>
            <w:vAlign w:val="center"/>
            <w:hideMark/>
          </w:tcPr>
          <w:p w14:paraId="3754FE18" w14:textId="57AAF6B4" w:rsidR="001E7776" w:rsidRPr="001E7776" w:rsidRDefault="00A61EB3" w:rsidP="001E7776">
            <w:pPr>
              <w:spacing w:line="240" w:lineRule="auto"/>
              <w:rPr>
                <w:rFonts w:eastAsia="Times New Roman" w:cs="Arial"/>
                <w:b/>
                <w:bCs/>
                <w:color w:val="FFFFFF"/>
                <w:lang w:eastAsia="en-GB"/>
              </w:rPr>
            </w:pPr>
            <w:r>
              <w:rPr>
                <w:rFonts w:ascii="Calibri" w:hAnsi="Calibri"/>
                <w:b/>
                <w:bCs/>
                <w:color w:val="FFFFFF"/>
                <w:sz w:val="22"/>
                <w:szCs w:val="22"/>
              </w:rPr>
              <w:t>Copdock and Washbrook</w:t>
            </w:r>
          </w:p>
        </w:tc>
        <w:tc>
          <w:tcPr>
            <w:tcW w:w="445" w:type="pct"/>
            <w:shd w:val="clear" w:color="auto" w:fill="000000"/>
            <w:noWrap/>
            <w:vAlign w:val="center"/>
            <w:hideMark/>
          </w:tcPr>
          <w:p w14:paraId="52A4AD18" w14:textId="2CAF7ED1" w:rsidR="001E7776" w:rsidRPr="001E7776" w:rsidRDefault="00A61EB3" w:rsidP="001E7776">
            <w:pPr>
              <w:spacing w:line="240" w:lineRule="auto"/>
              <w:rPr>
                <w:rFonts w:eastAsia="Times New Roman" w:cs="Arial"/>
                <w:b/>
                <w:bCs/>
                <w:color w:val="FFFFFF"/>
                <w:lang w:eastAsia="en-GB"/>
              </w:rPr>
            </w:pPr>
            <w:r>
              <w:rPr>
                <w:rFonts w:ascii="Calibri" w:hAnsi="Calibri"/>
                <w:b/>
                <w:bCs/>
                <w:color w:val="FFFFFF"/>
                <w:sz w:val="22"/>
                <w:szCs w:val="22"/>
              </w:rPr>
              <w:t>Babergh</w:t>
            </w:r>
          </w:p>
        </w:tc>
        <w:tc>
          <w:tcPr>
            <w:tcW w:w="430" w:type="pct"/>
            <w:shd w:val="clear" w:color="auto" w:fill="000000"/>
            <w:noWrap/>
            <w:vAlign w:val="center"/>
            <w:hideMark/>
          </w:tcPr>
          <w:p w14:paraId="12914B69" w14:textId="77777777" w:rsidR="001E7776" w:rsidRPr="001E7776" w:rsidRDefault="001E7776" w:rsidP="001E7776">
            <w:pPr>
              <w:spacing w:line="240" w:lineRule="auto"/>
              <w:rPr>
                <w:rFonts w:eastAsia="Times New Roman" w:cs="Arial"/>
                <w:b/>
                <w:bCs/>
                <w:color w:val="FFFFFF"/>
                <w:lang w:eastAsia="en-GB"/>
              </w:rPr>
            </w:pPr>
            <w:r w:rsidRPr="001E7776">
              <w:rPr>
                <w:rFonts w:ascii="Calibri" w:hAnsi="Calibri"/>
                <w:b/>
                <w:bCs/>
                <w:color w:val="FFFFFF"/>
                <w:sz w:val="22"/>
                <w:szCs w:val="22"/>
              </w:rPr>
              <w:t>England</w:t>
            </w:r>
          </w:p>
        </w:tc>
      </w:tr>
      <w:tr w:rsidR="00A61EB3" w:rsidRPr="001E7776" w14:paraId="587A4EDC" w14:textId="77777777" w:rsidTr="00A61EB3">
        <w:trPr>
          <w:trHeight w:val="286"/>
        </w:trPr>
        <w:tc>
          <w:tcPr>
            <w:tcW w:w="1258" w:type="pct"/>
            <w:shd w:val="clear" w:color="auto" w:fill="auto"/>
            <w:noWrap/>
            <w:hideMark/>
          </w:tcPr>
          <w:p w14:paraId="7CD59F5E"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Whole house or bungalow</w:t>
            </w:r>
          </w:p>
        </w:tc>
        <w:tc>
          <w:tcPr>
            <w:tcW w:w="1650" w:type="pct"/>
            <w:shd w:val="clear" w:color="auto" w:fill="auto"/>
            <w:noWrap/>
            <w:hideMark/>
          </w:tcPr>
          <w:p w14:paraId="2A4FCD10"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Detached</w:t>
            </w:r>
          </w:p>
        </w:tc>
        <w:tc>
          <w:tcPr>
            <w:tcW w:w="1217" w:type="pct"/>
            <w:tcBorders>
              <w:top w:val="nil"/>
              <w:left w:val="nil"/>
              <w:bottom w:val="single" w:sz="4" w:space="0" w:color="auto"/>
              <w:right w:val="single" w:sz="4" w:space="0" w:color="auto"/>
            </w:tcBorders>
            <w:shd w:val="clear" w:color="auto" w:fill="auto"/>
            <w:noWrap/>
          </w:tcPr>
          <w:p w14:paraId="527AB8A7" w14:textId="0ECD1943" w:rsidR="00A61EB3" w:rsidRPr="001E7776" w:rsidRDefault="00A61EB3" w:rsidP="00A61EB3">
            <w:pPr>
              <w:spacing w:line="240" w:lineRule="auto"/>
              <w:rPr>
                <w:rFonts w:eastAsia="Times New Roman" w:cs="Arial"/>
                <w:color w:val="000000"/>
                <w:lang w:eastAsia="en-GB"/>
              </w:rPr>
            </w:pPr>
            <w:r w:rsidRPr="00431A56">
              <w:t>57.6%</w:t>
            </w:r>
          </w:p>
        </w:tc>
        <w:tc>
          <w:tcPr>
            <w:tcW w:w="445" w:type="pct"/>
            <w:tcBorders>
              <w:top w:val="nil"/>
              <w:left w:val="single" w:sz="4" w:space="0" w:color="auto"/>
              <w:bottom w:val="single" w:sz="4" w:space="0" w:color="auto"/>
              <w:right w:val="single" w:sz="4" w:space="0" w:color="auto"/>
            </w:tcBorders>
            <w:shd w:val="clear" w:color="auto" w:fill="auto"/>
            <w:noWrap/>
          </w:tcPr>
          <w:p w14:paraId="490AB057" w14:textId="02BB5BF5" w:rsidR="00A61EB3" w:rsidRPr="001E7776" w:rsidRDefault="00A61EB3" w:rsidP="00A61EB3">
            <w:pPr>
              <w:spacing w:line="240" w:lineRule="auto"/>
              <w:rPr>
                <w:rFonts w:eastAsia="Times New Roman" w:cs="Arial"/>
                <w:color w:val="000000"/>
                <w:lang w:eastAsia="en-GB"/>
              </w:rPr>
            </w:pPr>
            <w:r w:rsidRPr="00431A56">
              <w:t>41.6%</w:t>
            </w:r>
          </w:p>
        </w:tc>
        <w:tc>
          <w:tcPr>
            <w:tcW w:w="430" w:type="pct"/>
            <w:tcBorders>
              <w:left w:val="single" w:sz="4" w:space="0" w:color="auto"/>
            </w:tcBorders>
            <w:shd w:val="clear" w:color="auto" w:fill="auto"/>
            <w:noWrap/>
            <w:hideMark/>
          </w:tcPr>
          <w:p w14:paraId="3A1BD2FF"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22.4%</w:t>
            </w:r>
          </w:p>
        </w:tc>
      </w:tr>
      <w:tr w:rsidR="00A61EB3" w:rsidRPr="001E7776" w14:paraId="6D1AA637" w14:textId="77777777" w:rsidTr="00A61EB3">
        <w:trPr>
          <w:trHeight w:val="286"/>
        </w:trPr>
        <w:tc>
          <w:tcPr>
            <w:tcW w:w="1258" w:type="pct"/>
            <w:shd w:val="clear" w:color="auto" w:fill="auto"/>
            <w:noWrap/>
            <w:hideMark/>
          </w:tcPr>
          <w:p w14:paraId="67304009" w14:textId="77777777" w:rsidR="00A61EB3" w:rsidRPr="001E7776" w:rsidRDefault="00A61EB3" w:rsidP="00A61EB3">
            <w:pPr>
              <w:spacing w:line="240" w:lineRule="auto"/>
              <w:rPr>
                <w:rFonts w:eastAsia="Times New Roman" w:cs="Arial"/>
                <w:color w:val="000000"/>
                <w:lang w:eastAsia="en-GB"/>
              </w:rPr>
            </w:pPr>
          </w:p>
        </w:tc>
        <w:tc>
          <w:tcPr>
            <w:tcW w:w="1650" w:type="pct"/>
            <w:shd w:val="clear" w:color="auto" w:fill="auto"/>
            <w:noWrap/>
            <w:hideMark/>
          </w:tcPr>
          <w:p w14:paraId="41158B9C"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Semi-detached</w:t>
            </w:r>
          </w:p>
        </w:tc>
        <w:tc>
          <w:tcPr>
            <w:tcW w:w="1217" w:type="pct"/>
            <w:tcBorders>
              <w:top w:val="single" w:sz="4" w:space="0" w:color="auto"/>
              <w:left w:val="nil"/>
              <w:bottom w:val="single" w:sz="4" w:space="0" w:color="auto"/>
              <w:right w:val="single" w:sz="4" w:space="0" w:color="auto"/>
            </w:tcBorders>
            <w:shd w:val="clear" w:color="auto" w:fill="auto"/>
            <w:noWrap/>
          </w:tcPr>
          <w:p w14:paraId="7299C08D" w14:textId="2D99BB0D" w:rsidR="00A61EB3" w:rsidRPr="001E7776" w:rsidRDefault="00A61EB3" w:rsidP="00A61EB3">
            <w:pPr>
              <w:spacing w:line="240" w:lineRule="auto"/>
              <w:rPr>
                <w:rFonts w:eastAsia="Times New Roman" w:cs="Arial"/>
                <w:color w:val="000000"/>
                <w:lang w:eastAsia="en-GB"/>
              </w:rPr>
            </w:pPr>
            <w:r w:rsidRPr="00431A56">
              <w:t>30.1%</w:t>
            </w:r>
          </w:p>
        </w:tc>
        <w:tc>
          <w:tcPr>
            <w:tcW w:w="445" w:type="pct"/>
            <w:tcBorders>
              <w:top w:val="single" w:sz="4" w:space="0" w:color="auto"/>
              <w:left w:val="single" w:sz="4" w:space="0" w:color="auto"/>
              <w:bottom w:val="single" w:sz="4" w:space="0" w:color="auto"/>
              <w:right w:val="single" w:sz="4" w:space="0" w:color="auto"/>
            </w:tcBorders>
            <w:shd w:val="clear" w:color="auto" w:fill="auto"/>
            <w:noWrap/>
          </w:tcPr>
          <w:p w14:paraId="0F7CDC1C" w14:textId="6F9C6260" w:rsidR="00A61EB3" w:rsidRPr="001E7776" w:rsidRDefault="00A61EB3" w:rsidP="00A61EB3">
            <w:pPr>
              <w:spacing w:line="240" w:lineRule="auto"/>
              <w:rPr>
                <w:rFonts w:eastAsia="Times New Roman" w:cs="Arial"/>
                <w:color w:val="000000"/>
                <w:lang w:eastAsia="en-GB"/>
              </w:rPr>
            </w:pPr>
            <w:r w:rsidRPr="00431A56">
              <w:t>29.4%</w:t>
            </w:r>
          </w:p>
        </w:tc>
        <w:tc>
          <w:tcPr>
            <w:tcW w:w="430" w:type="pct"/>
            <w:tcBorders>
              <w:left w:val="single" w:sz="4" w:space="0" w:color="auto"/>
            </w:tcBorders>
            <w:shd w:val="clear" w:color="auto" w:fill="auto"/>
            <w:noWrap/>
            <w:hideMark/>
          </w:tcPr>
          <w:p w14:paraId="4414CD74"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31.2%</w:t>
            </w:r>
          </w:p>
        </w:tc>
      </w:tr>
      <w:tr w:rsidR="00A61EB3" w:rsidRPr="001E7776" w14:paraId="608A9DD9" w14:textId="77777777" w:rsidTr="00A61EB3">
        <w:trPr>
          <w:trHeight w:val="286"/>
        </w:trPr>
        <w:tc>
          <w:tcPr>
            <w:tcW w:w="1258" w:type="pct"/>
            <w:shd w:val="clear" w:color="auto" w:fill="auto"/>
            <w:noWrap/>
            <w:hideMark/>
          </w:tcPr>
          <w:p w14:paraId="32678C55" w14:textId="77777777" w:rsidR="00A61EB3" w:rsidRPr="001E7776" w:rsidRDefault="00A61EB3" w:rsidP="00A61EB3">
            <w:pPr>
              <w:spacing w:line="240" w:lineRule="auto"/>
              <w:rPr>
                <w:rFonts w:eastAsia="Times New Roman" w:cs="Arial"/>
                <w:color w:val="000000"/>
                <w:lang w:eastAsia="en-GB"/>
              </w:rPr>
            </w:pPr>
          </w:p>
        </w:tc>
        <w:tc>
          <w:tcPr>
            <w:tcW w:w="1650" w:type="pct"/>
            <w:shd w:val="clear" w:color="auto" w:fill="auto"/>
            <w:noWrap/>
            <w:hideMark/>
          </w:tcPr>
          <w:p w14:paraId="497F7890"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Terraced</w:t>
            </w:r>
          </w:p>
        </w:tc>
        <w:tc>
          <w:tcPr>
            <w:tcW w:w="1217" w:type="pct"/>
            <w:tcBorders>
              <w:top w:val="single" w:sz="4" w:space="0" w:color="auto"/>
              <w:left w:val="nil"/>
              <w:bottom w:val="single" w:sz="4" w:space="0" w:color="auto"/>
              <w:right w:val="single" w:sz="4" w:space="0" w:color="auto"/>
            </w:tcBorders>
            <w:shd w:val="clear" w:color="auto" w:fill="auto"/>
            <w:noWrap/>
          </w:tcPr>
          <w:p w14:paraId="3A41046E" w14:textId="37174E30" w:rsidR="00A61EB3" w:rsidRPr="001E7776" w:rsidRDefault="00A61EB3" w:rsidP="00A61EB3">
            <w:pPr>
              <w:spacing w:line="240" w:lineRule="auto"/>
              <w:rPr>
                <w:rFonts w:eastAsia="Times New Roman" w:cs="Arial"/>
                <w:color w:val="000000"/>
                <w:lang w:eastAsia="en-GB"/>
              </w:rPr>
            </w:pPr>
            <w:r w:rsidRPr="00431A56">
              <w:t>11.2%</w:t>
            </w:r>
          </w:p>
        </w:tc>
        <w:tc>
          <w:tcPr>
            <w:tcW w:w="445" w:type="pct"/>
            <w:tcBorders>
              <w:top w:val="single" w:sz="4" w:space="0" w:color="auto"/>
              <w:left w:val="single" w:sz="4" w:space="0" w:color="auto"/>
              <w:bottom w:val="single" w:sz="4" w:space="0" w:color="auto"/>
              <w:right w:val="single" w:sz="4" w:space="0" w:color="auto"/>
            </w:tcBorders>
            <w:shd w:val="clear" w:color="auto" w:fill="auto"/>
            <w:noWrap/>
          </w:tcPr>
          <w:p w14:paraId="6B53BAD0" w14:textId="12795741" w:rsidR="00A61EB3" w:rsidRPr="001E7776" w:rsidRDefault="00A61EB3" w:rsidP="00A61EB3">
            <w:pPr>
              <w:spacing w:line="240" w:lineRule="auto"/>
              <w:rPr>
                <w:rFonts w:eastAsia="Times New Roman" w:cs="Arial"/>
                <w:color w:val="000000"/>
                <w:lang w:eastAsia="en-GB"/>
              </w:rPr>
            </w:pPr>
            <w:r w:rsidRPr="00431A56">
              <w:t>21.7%</w:t>
            </w:r>
          </w:p>
        </w:tc>
        <w:tc>
          <w:tcPr>
            <w:tcW w:w="430" w:type="pct"/>
            <w:tcBorders>
              <w:left w:val="single" w:sz="4" w:space="0" w:color="auto"/>
            </w:tcBorders>
            <w:shd w:val="clear" w:color="auto" w:fill="auto"/>
            <w:noWrap/>
            <w:hideMark/>
          </w:tcPr>
          <w:p w14:paraId="0632A903"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24.5%</w:t>
            </w:r>
          </w:p>
        </w:tc>
      </w:tr>
      <w:tr w:rsidR="00A61EB3" w:rsidRPr="001E7776" w14:paraId="08DF7EF8" w14:textId="77777777" w:rsidTr="00A61EB3">
        <w:trPr>
          <w:trHeight w:val="286"/>
        </w:trPr>
        <w:tc>
          <w:tcPr>
            <w:tcW w:w="1258" w:type="pct"/>
            <w:shd w:val="clear" w:color="auto" w:fill="auto"/>
            <w:noWrap/>
            <w:hideMark/>
          </w:tcPr>
          <w:p w14:paraId="40D66BCB"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Flat, maisonette or apartment</w:t>
            </w:r>
          </w:p>
        </w:tc>
        <w:tc>
          <w:tcPr>
            <w:tcW w:w="1650" w:type="pct"/>
            <w:shd w:val="clear" w:color="auto" w:fill="auto"/>
            <w:noWrap/>
            <w:hideMark/>
          </w:tcPr>
          <w:p w14:paraId="7CF21C0A"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Purpose-built block of flats or tenement</w:t>
            </w:r>
          </w:p>
        </w:tc>
        <w:tc>
          <w:tcPr>
            <w:tcW w:w="1217" w:type="pct"/>
            <w:tcBorders>
              <w:top w:val="single" w:sz="4" w:space="0" w:color="auto"/>
              <w:left w:val="nil"/>
              <w:bottom w:val="single" w:sz="4" w:space="0" w:color="auto"/>
              <w:right w:val="single" w:sz="4" w:space="0" w:color="auto"/>
            </w:tcBorders>
            <w:shd w:val="clear" w:color="auto" w:fill="auto"/>
            <w:noWrap/>
          </w:tcPr>
          <w:p w14:paraId="6F2AAEE8" w14:textId="4647027C" w:rsidR="00A61EB3" w:rsidRPr="001E7776" w:rsidRDefault="00A61EB3" w:rsidP="00A61EB3">
            <w:pPr>
              <w:spacing w:line="240" w:lineRule="auto"/>
              <w:rPr>
                <w:rFonts w:eastAsia="Times New Roman" w:cs="Arial"/>
                <w:color w:val="000000"/>
                <w:lang w:eastAsia="en-GB"/>
              </w:rPr>
            </w:pPr>
            <w:r w:rsidRPr="00431A56">
              <w:t>0.2%</w:t>
            </w:r>
          </w:p>
        </w:tc>
        <w:tc>
          <w:tcPr>
            <w:tcW w:w="445" w:type="pct"/>
            <w:tcBorders>
              <w:top w:val="single" w:sz="4" w:space="0" w:color="auto"/>
              <w:left w:val="single" w:sz="4" w:space="0" w:color="auto"/>
              <w:bottom w:val="single" w:sz="4" w:space="0" w:color="auto"/>
              <w:right w:val="single" w:sz="4" w:space="0" w:color="auto"/>
            </w:tcBorders>
            <w:shd w:val="clear" w:color="auto" w:fill="auto"/>
            <w:noWrap/>
          </w:tcPr>
          <w:p w14:paraId="5384DD1C" w14:textId="38537C33" w:rsidR="00A61EB3" w:rsidRPr="001E7776" w:rsidRDefault="00A61EB3" w:rsidP="00A61EB3">
            <w:pPr>
              <w:spacing w:line="240" w:lineRule="auto"/>
              <w:rPr>
                <w:rFonts w:eastAsia="Times New Roman" w:cs="Arial"/>
                <w:color w:val="000000"/>
                <w:lang w:eastAsia="en-GB"/>
              </w:rPr>
            </w:pPr>
            <w:r w:rsidRPr="00431A56">
              <w:t>5.5%</w:t>
            </w:r>
          </w:p>
        </w:tc>
        <w:tc>
          <w:tcPr>
            <w:tcW w:w="430" w:type="pct"/>
            <w:tcBorders>
              <w:left w:val="single" w:sz="4" w:space="0" w:color="auto"/>
            </w:tcBorders>
            <w:shd w:val="clear" w:color="auto" w:fill="auto"/>
            <w:noWrap/>
            <w:hideMark/>
          </w:tcPr>
          <w:p w14:paraId="2B236B7E"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16.4%</w:t>
            </w:r>
          </w:p>
        </w:tc>
      </w:tr>
      <w:tr w:rsidR="00A61EB3" w:rsidRPr="001E7776" w14:paraId="260601DB" w14:textId="77777777" w:rsidTr="00A61EB3">
        <w:trPr>
          <w:trHeight w:val="286"/>
        </w:trPr>
        <w:tc>
          <w:tcPr>
            <w:tcW w:w="1258" w:type="pct"/>
            <w:shd w:val="clear" w:color="auto" w:fill="auto"/>
            <w:noWrap/>
            <w:hideMark/>
          </w:tcPr>
          <w:p w14:paraId="01169A6F" w14:textId="77777777" w:rsidR="00A61EB3" w:rsidRPr="001E7776" w:rsidRDefault="00A61EB3" w:rsidP="00A61EB3">
            <w:pPr>
              <w:spacing w:line="240" w:lineRule="auto"/>
              <w:rPr>
                <w:rFonts w:eastAsia="Times New Roman" w:cs="Arial"/>
                <w:color w:val="000000"/>
                <w:lang w:eastAsia="en-GB"/>
              </w:rPr>
            </w:pPr>
          </w:p>
        </w:tc>
        <w:tc>
          <w:tcPr>
            <w:tcW w:w="1650" w:type="pct"/>
            <w:shd w:val="clear" w:color="auto" w:fill="auto"/>
            <w:noWrap/>
            <w:hideMark/>
          </w:tcPr>
          <w:p w14:paraId="5B2F397D"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Parts of a converted or shared house</w:t>
            </w:r>
          </w:p>
        </w:tc>
        <w:tc>
          <w:tcPr>
            <w:tcW w:w="1217" w:type="pct"/>
            <w:tcBorders>
              <w:top w:val="single" w:sz="4" w:space="0" w:color="auto"/>
              <w:left w:val="nil"/>
              <w:bottom w:val="single" w:sz="4" w:space="0" w:color="auto"/>
              <w:right w:val="single" w:sz="4" w:space="0" w:color="auto"/>
            </w:tcBorders>
            <w:shd w:val="clear" w:color="auto" w:fill="auto"/>
            <w:noWrap/>
          </w:tcPr>
          <w:p w14:paraId="3DBD4DD9" w14:textId="58C41313" w:rsidR="00A61EB3" w:rsidRPr="001E7776" w:rsidRDefault="00A61EB3" w:rsidP="00A61EB3">
            <w:pPr>
              <w:spacing w:line="240" w:lineRule="auto"/>
              <w:rPr>
                <w:rFonts w:eastAsia="Times New Roman" w:cs="Arial"/>
                <w:color w:val="000000"/>
                <w:lang w:eastAsia="en-GB"/>
              </w:rPr>
            </w:pPr>
            <w:r w:rsidRPr="00431A56">
              <w:t>0.2%</w:t>
            </w:r>
          </w:p>
        </w:tc>
        <w:tc>
          <w:tcPr>
            <w:tcW w:w="445" w:type="pct"/>
            <w:tcBorders>
              <w:top w:val="single" w:sz="4" w:space="0" w:color="auto"/>
              <w:left w:val="single" w:sz="4" w:space="0" w:color="auto"/>
              <w:bottom w:val="single" w:sz="4" w:space="0" w:color="auto"/>
              <w:right w:val="single" w:sz="4" w:space="0" w:color="auto"/>
            </w:tcBorders>
            <w:shd w:val="clear" w:color="auto" w:fill="auto"/>
            <w:noWrap/>
          </w:tcPr>
          <w:p w14:paraId="2260502E" w14:textId="66BE4E9F" w:rsidR="00A61EB3" w:rsidRPr="001E7776" w:rsidRDefault="00A61EB3" w:rsidP="00A61EB3">
            <w:pPr>
              <w:spacing w:line="240" w:lineRule="auto"/>
              <w:rPr>
                <w:rFonts w:eastAsia="Times New Roman" w:cs="Arial"/>
                <w:color w:val="000000"/>
                <w:lang w:eastAsia="en-GB"/>
              </w:rPr>
            </w:pPr>
            <w:r w:rsidRPr="00431A56">
              <w:t>0.9%</w:t>
            </w:r>
          </w:p>
        </w:tc>
        <w:tc>
          <w:tcPr>
            <w:tcW w:w="430" w:type="pct"/>
            <w:tcBorders>
              <w:left w:val="single" w:sz="4" w:space="0" w:color="auto"/>
            </w:tcBorders>
            <w:shd w:val="clear" w:color="auto" w:fill="auto"/>
            <w:noWrap/>
            <w:hideMark/>
          </w:tcPr>
          <w:p w14:paraId="63F0C016"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3.8%</w:t>
            </w:r>
          </w:p>
        </w:tc>
      </w:tr>
      <w:tr w:rsidR="00A61EB3" w:rsidRPr="001E7776" w14:paraId="212023B0" w14:textId="77777777" w:rsidTr="00A61EB3">
        <w:trPr>
          <w:trHeight w:val="286"/>
        </w:trPr>
        <w:tc>
          <w:tcPr>
            <w:tcW w:w="1258" w:type="pct"/>
            <w:shd w:val="clear" w:color="auto" w:fill="auto"/>
            <w:noWrap/>
            <w:hideMark/>
          </w:tcPr>
          <w:p w14:paraId="4F81FDAF" w14:textId="77777777" w:rsidR="00A61EB3" w:rsidRPr="001E7776" w:rsidRDefault="00A61EB3" w:rsidP="00A61EB3">
            <w:pPr>
              <w:spacing w:line="240" w:lineRule="auto"/>
              <w:rPr>
                <w:rFonts w:eastAsia="Times New Roman" w:cs="Arial"/>
                <w:color w:val="000000"/>
                <w:lang w:eastAsia="en-GB"/>
              </w:rPr>
            </w:pPr>
          </w:p>
        </w:tc>
        <w:tc>
          <w:tcPr>
            <w:tcW w:w="1650" w:type="pct"/>
            <w:shd w:val="clear" w:color="auto" w:fill="auto"/>
            <w:noWrap/>
            <w:hideMark/>
          </w:tcPr>
          <w:p w14:paraId="48EDF538"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In commercial building</w:t>
            </w:r>
          </w:p>
        </w:tc>
        <w:tc>
          <w:tcPr>
            <w:tcW w:w="1217" w:type="pct"/>
            <w:tcBorders>
              <w:top w:val="single" w:sz="4" w:space="0" w:color="auto"/>
              <w:left w:val="nil"/>
              <w:bottom w:val="single" w:sz="4" w:space="0" w:color="auto"/>
              <w:right w:val="single" w:sz="4" w:space="0" w:color="auto"/>
            </w:tcBorders>
            <w:shd w:val="clear" w:color="auto" w:fill="auto"/>
            <w:noWrap/>
          </w:tcPr>
          <w:p w14:paraId="6BE54C98" w14:textId="4AD1C6D1" w:rsidR="00A61EB3" w:rsidRPr="001E7776" w:rsidRDefault="00A61EB3" w:rsidP="00A61EB3">
            <w:pPr>
              <w:spacing w:line="240" w:lineRule="auto"/>
              <w:rPr>
                <w:rFonts w:eastAsia="Times New Roman" w:cs="Arial"/>
                <w:color w:val="000000"/>
                <w:lang w:eastAsia="en-GB"/>
              </w:rPr>
            </w:pPr>
            <w:r w:rsidRPr="00431A56">
              <w:t>0.4%</w:t>
            </w:r>
          </w:p>
        </w:tc>
        <w:tc>
          <w:tcPr>
            <w:tcW w:w="445" w:type="pct"/>
            <w:tcBorders>
              <w:top w:val="single" w:sz="4" w:space="0" w:color="auto"/>
              <w:left w:val="single" w:sz="4" w:space="0" w:color="auto"/>
              <w:bottom w:val="single" w:sz="4" w:space="0" w:color="auto"/>
              <w:right w:val="single" w:sz="4" w:space="0" w:color="auto"/>
            </w:tcBorders>
            <w:shd w:val="clear" w:color="auto" w:fill="auto"/>
            <w:noWrap/>
          </w:tcPr>
          <w:p w14:paraId="56B84898" w14:textId="6234F1F5" w:rsidR="00A61EB3" w:rsidRPr="001E7776" w:rsidRDefault="00A61EB3" w:rsidP="00A61EB3">
            <w:pPr>
              <w:spacing w:line="240" w:lineRule="auto"/>
              <w:rPr>
                <w:rFonts w:eastAsia="Times New Roman" w:cs="Arial"/>
                <w:color w:val="000000"/>
                <w:lang w:eastAsia="en-GB"/>
              </w:rPr>
            </w:pPr>
            <w:r w:rsidRPr="00431A56">
              <w:t>0.8%</w:t>
            </w:r>
          </w:p>
        </w:tc>
        <w:tc>
          <w:tcPr>
            <w:tcW w:w="430" w:type="pct"/>
            <w:tcBorders>
              <w:left w:val="single" w:sz="4" w:space="0" w:color="auto"/>
            </w:tcBorders>
            <w:shd w:val="clear" w:color="auto" w:fill="auto"/>
            <w:noWrap/>
            <w:hideMark/>
          </w:tcPr>
          <w:p w14:paraId="76C5E647" w14:textId="77777777" w:rsidR="00A61EB3" w:rsidRPr="001E7776" w:rsidRDefault="00A61EB3" w:rsidP="00A61EB3">
            <w:pPr>
              <w:spacing w:line="240" w:lineRule="auto"/>
              <w:rPr>
                <w:rFonts w:eastAsia="Times New Roman" w:cs="Arial"/>
                <w:color w:val="000000"/>
                <w:lang w:eastAsia="en-GB"/>
              </w:rPr>
            </w:pPr>
            <w:r w:rsidRPr="001E7776">
              <w:rPr>
                <w:rFonts w:eastAsia="Times New Roman" w:cs="Arial"/>
                <w:color w:val="000000"/>
                <w:lang w:eastAsia="en-GB"/>
              </w:rPr>
              <w:t>1.0%</w:t>
            </w:r>
          </w:p>
        </w:tc>
      </w:tr>
    </w:tbl>
    <w:p w14:paraId="6905CE02" w14:textId="77777777" w:rsidR="001E7776" w:rsidRPr="001E7776" w:rsidRDefault="001E7776" w:rsidP="00CF0FBA">
      <w:pPr>
        <w:numPr>
          <w:ilvl w:val="0"/>
          <w:numId w:val="22"/>
        </w:numPr>
        <w:spacing w:after="120"/>
        <w:ind w:left="567" w:hanging="141"/>
        <w:rPr>
          <w:i/>
          <w:webHidden/>
          <w:sz w:val="16"/>
          <w:lang w:val="en-US"/>
        </w:rPr>
      </w:pPr>
      <w:r w:rsidRPr="001E7776">
        <w:rPr>
          <w:i/>
          <w:webHidden/>
          <w:sz w:val="16"/>
          <w:lang w:val="en-US"/>
        </w:rPr>
        <w:t>Source: ONS 2011, AECOM Calculations</w:t>
      </w:r>
    </w:p>
    <w:p w14:paraId="1EBD0FF9" w14:textId="0B9275B4" w:rsidR="001E7776" w:rsidRPr="00D56987" w:rsidRDefault="00BA080E" w:rsidP="00D56987">
      <w:pPr>
        <w:pStyle w:val="Heading3"/>
        <w:jc w:val="both"/>
        <w:rPr>
          <w:webHidden/>
        </w:rPr>
      </w:pPr>
      <w:bookmarkStart w:id="101" w:name="_Toc7789751"/>
      <w:r>
        <w:rPr>
          <w:webHidden/>
        </w:rPr>
        <w:t xml:space="preserve">Data from Census- </w:t>
      </w:r>
      <w:r w:rsidR="001E7776" w:rsidRPr="00D56987">
        <w:rPr>
          <w:webHidden/>
        </w:rPr>
        <w:t>Size</w:t>
      </w:r>
      <w:bookmarkEnd w:id="101"/>
    </w:p>
    <w:p w14:paraId="561A96DA" w14:textId="3E812787" w:rsidR="001E7776" w:rsidRDefault="001E7776" w:rsidP="00D56987">
      <w:pPr>
        <w:pStyle w:val="ListNumber"/>
        <w:jc w:val="both"/>
        <w:rPr>
          <w:webHidden/>
        </w:rPr>
      </w:pPr>
      <w:r w:rsidRPr="00EA3826">
        <w:rPr>
          <w:webHidden/>
          <w:color w:val="FF0000"/>
        </w:rPr>
        <w:fldChar w:fldCharType="begin"/>
      </w:r>
      <w:r w:rsidRPr="00EA3826">
        <w:rPr>
          <w:webHidden/>
        </w:rPr>
        <w:instrText xml:space="preserve"> REF _Ref523823790 \h </w:instrText>
      </w:r>
      <w:r w:rsidRPr="00EA3826">
        <w:rPr>
          <w:webHidden/>
          <w:color w:val="FF0000"/>
        </w:rPr>
        <w:instrText xml:space="preserve"> \* MERGEFORMAT </w:instrText>
      </w:r>
      <w:r w:rsidRPr="00EA3826">
        <w:rPr>
          <w:webHidden/>
          <w:color w:val="FF0000"/>
        </w:rPr>
      </w:r>
      <w:r w:rsidRPr="00EA3826">
        <w:rPr>
          <w:webHidden/>
          <w:color w:val="FF0000"/>
        </w:rPr>
        <w:fldChar w:fldCharType="separate"/>
      </w:r>
      <w:r w:rsidR="004F6699" w:rsidRPr="004F6699">
        <w:t xml:space="preserve">Table </w:t>
      </w:r>
      <w:r w:rsidR="004F6699" w:rsidRPr="004F6699">
        <w:rPr>
          <w:noProof/>
        </w:rPr>
        <w:t>5</w:t>
      </w:r>
      <w:r w:rsidR="004F6699" w:rsidRPr="004F6699">
        <w:rPr>
          <w:noProof/>
        </w:rPr>
        <w:noBreakHyphen/>
        <w:t>2</w:t>
      </w:r>
      <w:r w:rsidRPr="00EA3826">
        <w:rPr>
          <w:webHidden/>
          <w:color w:val="FF0000"/>
        </w:rPr>
        <w:fldChar w:fldCharType="end"/>
      </w:r>
      <w:r w:rsidRPr="00EA3826">
        <w:rPr>
          <w:webHidden/>
          <w:color w:val="FF0000"/>
        </w:rPr>
        <w:t xml:space="preserve"> </w:t>
      </w:r>
      <w:r w:rsidRPr="00EA3826">
        <w:rPr>
          <w:webHidden/>
        </w:rPr>
        <w:t>below shows that household</w:t>
      </w:r>
      <w:r w:rsidR="00FA3B56">
        <w:rPr>
          <w:webHidden/>
        </w:rPr>
        <w:t xml:space="preserve"> sizes </w:t>
      </w:r>
      <w:r w:rsidRPr="00EA3826">
        <w:rPr>
          <w:webHidden/>
        </w:rPr>
        <w:t xml:space="preserve">are </w:t>
      </w:r>
      <w:r w:rsidR="00EA3826" w:rsidRPr="00EA3826">
        <w:rPr>
          <w:webHidden/>
        </w:rPr>
        <w:t>larg</w:t>
      </w:r>
      <w:r w:rsidRPr="00EA3826">
        <w:rPr>
          <w:webHidden/>
        </w:rPr>
        <w:t xml:space="preserve">er in </w:t>
      </w:r>
      <w:r w:rsidR="00A61EB3" w:rsidRPr="00EA3826">
        <w:rPr>
          <w:webHidden/>
        </w:rPr>
        <w:t>Copdock and Washbrook</w:t>
      </w:r>
      <w:r w:rsidRPr="00EA3826">
        <w:rPr>
          <w:webHidden/>
        </w:rPr>
        <w:t xml:space="preserve"> compared to </w:t>
      </w:r>
      <w:r w:rsidR="00A61EB3" w:rsidRPr="00EA3826">
        <w:rPr>
          <w:webHidden/>
        </w:rPr>
        <w:t>Babergh</w:t>
      </w:r>
      <w:r w:rsidRPr="00EA3826">
        <w:rPr>
          <w:webHidden/>
        </w:rPr>
        <w:t xml:space="preserve"> (2.</w:t>
      </w:r>
      <w:r w:rsidR="00EA3826" w:rsidRPr="00EA3826">
        <w:rPr>
          <w:webHidden/>
        </w:rPr>
        <w:t>46</w:t>
      </w:r>
      <w:r w:rsidRPr="00EA3826">
        <w:rPr>
          <w:webHidden/>
        </w:rPr>
        <w:t xml:space="preserve"> against 2.3</w:t>
      </w:r>
      <w:r w:rsidR="00EA3826" w:rsidRPr="00EA3826">
        <w:rPr>
          <w:webHidden/>
        </w:rPr>
        <w:t>4</w:t>
      </w:r>
      <w:r w:rsidRPr="00EA3826">
        <w:rPr>
          <w:webHidden/>
        </w:rPr>
        <w:t>). In the following paragraphs, we further investigate the size of dwellings in the NA.</w:t>
      </w:r>
    </w:p>
    <w:p w14:paraId="54B35F74" w14:textId="0061D370" w:rsidR="00BC251E" w:rsidRDefault="00BC251E">
      <w:pPr>
        <w:tabs>
          <w:tab w:val="clear" w:pos="284"/>
        </w:tabs>
        <w:spacing w:line="240" w:lineRule="auto"/>
        <w:rPr>
          <w:webHidden/>
          <w:lang w:val="en-US"/>
        </w:rPr>
      </w:pPr>
      <w:r>
        <w:rPr>
          <w:webHidden/>
        </w:rPr>
        <w:br w:type="page"/>
      </w:r>
    </w:p>
    <w:p w14:paraId="551A0967" w14:textId="56A9DC1B" w:rsidR="001E7776" w:rsidRPr="00EA3826" w:rsidRDefault="001E7776" w:rsidP="001E7776">
      <w:pPr>
        <w:keepNext/>
        <w:spacing w:after="120"/>
        <w:ind w:left="567" w:hanging="141"/>
        <w:rPr>
          <w:rFonts w:asciiTheme="majorHAnsi" w:hAnsiTheme="majorHAnsi"/>
          <w:b/>
          <w:bCs/>
          <w:color w:val="00B5E2" w:themeColor="accent1"/>
          <w:sz w:val="20"/>
        </w:rPr>
      </w:pPr>
      <w:bookmarkStart w:id="102" w:name="_Ref523823790"/>
      <w:r w:rsidRPr="00EA3826">
        <w:rPr>
          <w:rFonts w:asciiTheme="majorHAnsi" w:hAnsiTheme="majorHAnsi"/>
          <w:b/>
          <w:bCs/>
          <w:color w:val="00B5E2" w:themeColor="accent1"/>
          <w:sz w:val="20"/>
        </w:rPr>
        <w:lastRenderedPageBreak/>
        <w:t xml:space="preserve">Table </w:t>
      </w:r>
      <w:r w:rsidRPr="00EA3826">
        <w:rPr>
          <w:rFonts w:asciiTheme="majorHAnsi" w:hAnsiTheme="majorHAnsi"/>
          <w:b/>
          <w:bCs/>
          <w:noProof/>
          <w:color w:val="00B5E2" w:themeColor="accent1"/>
          <w:sz w:val="20"/>
        </w:rPr>
        <w:fldChar w:fldCharType="begin"/>
      </w:r>
      <w:r w:rsidRPr="00EA3826">
        <w:rPr>
          <w:rFonts w:asciiTheme="majorHAnsi" w:hAnsiTheme="majorHAnsi"/>
          <w:b/>
          <w:bCs/>
          <w:noProof/>
          <w:color w:val="00B5E2" w:themeColor="accent1"/>
          <w:sz w:val="20"/>
        </w:rPr>
        <w:instrText xml:space="preserve"> STYLEREF 1 \s </w:instrText>
      </w:r>
      <w:r w:rsidRPr="00EA382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EA3826">
        <w:rPr>
          <w:rFonts w:asciiTheme="majorHAnsi" w:hAnsiTheme="majorHAnsi"/>
          <w:b/>
          <w:bCs/>
          <w:noProof/>
          <w:color w:val="00B5E2" w:themeColor="accent1"/>
          <w:sz w:val="20"/>
        </w:rPr>
        <w:fldChar w:fldCharType="end"/>
      </w:r>
      <w:r w:rsidRPr="00EA3826">
        <w:rPr>
          <w:rFonts w:asciiTheme="majorHAnsi" w:hAnsiTheme="majorHAnsi"/>
          <w:b/>
          <w:bCs/>
          <w:color w:val="00B5E2" w:themeColor="accent1"/>
          <w:sz w:val="20"/>
        </w:rPr>
        <w:noBreakHyphen/>
      </w:r>
      <w:r w:rsidRPr="00EA3826">
        <w:rPr>
          <w:rFonts w:asciiTheme="majorHAnsi" w:hAnsiTheme="majorHAnsi"/>
          <w:b/>
          <w:bCs/>
          <w:noProof/>
          <w:color w:val="00B5E2" w:themeColor="accent1"/>
          <w:sz w:val="20"/>
        </w:rPr>
        <w:fldChar w:fldCharType="begin"/>
      </w:r>
      <w:r w:rsidRPr="00EA3826">
        <w:rPr>
          <w:rFonts w:asciiTheme="majorHAnsi" w:hAnsiTheme="majorHAnsi"/>
          <w:b/>
          <w:bCs/>
          <w:noProof/>
          <w:color w:val="00B5E2" w:themeColor="accent1"/>
          <w:sz w:val="20"/>
        </w:rPr>
        <w:instrText xml:space="preserve"> SEQ Table \* ARABIC \s 1 </w:instrText>
      </w:r>
      <w:r w:rsidRPr="00EA382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2</w:t>
      </w:r>
      <w:r w:rsidRPr="00EA3826">
        <w:rPr>
          <w:rFonts w:asciiTheme="majorHAnsi" w:hAnsiTheme="majorHAnsi"/>
          <w:b/>
          <w:bCs/>
          <w:noProof/>
          <w:color w:val="00B5E2" w:themeColor="accent1"/>
          <w:sz w:val="20"/>
        </w:rPr>
        <w:fldChar w:fldCharType="end"/>
      </w:r>
      <w:bookmarkEnd w:id="102"/>
      <w:r w:rsidRPr="00EA3826">
        <w:rPr>
          <w:rFonts w:asciiTheme="majorHAnsi" w:hAnsiTheme="majorHAnsi"/>
          <w:b/>
          <w:bCs/>
          <w:color w:val="00B5E2" w:themeColor="accent1"/>
          <w:sz w:val="20"/>
        </w:rPr>
        <w:t>: Occupancy Summary Table</w:t>
      </w:r>
    </w:p>
    <w:tbl>
      <w:tblPr>
        <w:tblW w:w="0" w:type="auto"/>
        <w:tblInd w:w="534" w:type="dxa"/>
        <w:tblLook w:val="04A0" w:firstRow="1" w:lastRow="0" w:firstColumn="1" w:lastColumn="0" w:noHBand="0" w:noVBand="1"/>
      </w:tblPr>
      <w:tblGrid>
        <w:gridCol w:w="3705"/>
        <w:gridCol w:w="1354"/>
        <w:gridCol w:w="1784"/>
      </w:tblGrid>
      <w:tr w:rsidR="001E7776" w:rsidRPr="00EA3826" w14:paraId="02D0EA6A" w14:textId="77777777" w:rsidTr="00EA3826">
        <w:trPr>
          <w:trHeight w:val="330"/>
        </w:trPr>
        <w:tc>
          <w:tcPr>
            <w:tcW w:w="0" w:type="auto"/>
            <w:tcBorders>
              <w:top w:val="single" w:sz="4" w:space="0" w:color="auto"/>
              <w:left w:val="single" w:sz="4" w:space="0" w:color="auto"/>
              <w:bottom w:val="single" w:sz="4" w:space="0" w:color="auto"/>
              <w:right w:val="single" w:sz="4" w:space="0" w:color="auto"/>
            </w:tcBorders>
            <w:shd w:val="clear" w:color="auto" w:fill="000000"/>
            <w:vAlign w:val="center"/>
            <w:hideMark/>
          </w:tcPr>
          <w:p w14:paraId="62E796F2" w14:textId="77777777" w:rsidR="001E7776" w:rsidRPr="00EA3826" w:rsidRDefault="001E7776" w:rsidP="001E7776">
            <w:pPr>
              <w:spacing w:line="240" w:lineRule="auto"/>
              <w:rPr>
                <w:rFonts w:eastAsia="Times New Roman" w:cs="Arial"/>
                <w:b/>
                <w:bCs/>
                <w:szCs w:val="20"/>
                <w:lang w:eastAsia="en-GB"/>
              </w:rPr>
            </w:pPr>
            <w:r w:rsidRPr="00EA3826">
              <w:rPr>
                <w:rFonts w:eastAsia="Times New Roman" w:cs="Arial"/>
                <w:b/>
                <w:bCs/>
                <w:szCs w:val="20"/>
                <w:lang w:eastAsia="en-GB"/>
              </w:rPr>
              <w:t> </w:t>
            </w:r>
          </w:p>
        </w:tc>
        <w:tc>
          <w:tcPr>
            <w:tcW w:w="1354" w:type="dxa"/>
            <w:tcBorders>
              <w:top w:val="single" w:sz="4" w:space="0" w:color="auto"/>
              <w:left w:val="nil"/>
              <w:bottom w:val="single" w:sz="4" w:space="0" w:color="auto"/>
              <w:right w:val="single" w:sz="4" w:space="0" w:color="auto"/>
            </w:tcBorders>
            <w:shd w:val="clear" w:color="auto" w:fill="000000"/>
            <w:vAlign w:val="center"/>
          </w:tcPr>
          <w:p w14:paraId="6996BCA5" w14:textId="578EAF14" w:rsidR="001E7776" w:rsidRPr="00EA3826" w:rsidRDefault="00A61EB3" w:rsidP="001E7776">
            <w:pPr>
              <w:spacing w:line="240" w:lineRule="auto"/>
              <w:rPr>
                <w:rFonts w:eastAsia="Times New Roman" w:cs="Arial"/>
                <w:b/>
                <w:bCs/>
                <w:szCs w:val="20"/>
                <w:lang w:eastAsia="en-GB"/>
              </w:rPr>
            </w:pPr>
            <w:r w:rsidRPr="00EA3826">
              <w:rPr>
                <w:rFonts w:cs="Arial"/>
                <w:b/>
                <w:lang w:eastAsia="en-GB"/>
              </w:rPr>
              <w:t>Copdock and Washbrook</w:t>
            </w:r>
          </w:p>
        </w:tc>
        <w:tc>
          <w:tcPr>
            <w:tcW w:w="1784" w:type="dxa"/>
            <w:tcBorders>
              <w:top w:val="single" w:sz="4" w:space="0" w:color="auto"/>
              <w:left w:val="nil"/>
              <w:bottom w:val="single" w:sz="4" w:space="0" w:color="auto"/>
              <w:right w:val="single" w:sz="4" w:space="0" w:color="auto"/>
            </w:tcBorders>
            <w:shd w:val="clear" w:color="auto" w:fill="000000"/>
            <w:vAlign w:val="center"/>
          </w:tcPr>
          <w:p w14:paraId="56CFF403" w14:textId="424DF8E4" w:rsidR="001E7776" w:rsidRPr="00EA3826" w:rsidRDefault="00A61EB3" w:rsidP="001E7776">
            <w:pPr>
              <w:spacing w:line="240" w:lineRule="auto"/>
              <w:rPr>
                <w:rFonts w:eastAsia="Times New Roman" w:cs="Arial"/>
                <w:b/>
                <w:bCs/>
                <w:szCs w:val="20"/>
                <w:lang w:eastAsia="en-GB"/>
              </w:rPr>
            </w:pPr>
            <w:r w:rsidRPr="00EA3826">
              <w:rPr>
                <w:rFonts w:cs="Arial"/>
                <w:b/>
                <w:lang w:eastAsia="en-GB"/>
              </w:rPr>
              <w:t>Babergh</w:t>
            </w:r>
          </w:p>
        </w:tc>
      </w:tr>
      <w:tr w:rsidR="001E7776" w:rsidRPr="001E7776" w14:paraId="1E893DF9" w14:textId="77777777" w:rsidTr="00EA382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E08EA" w14:textId="528BAD23" w:rsidR="001E7776" w:rsidRPr="00EA3826" w:rsidRDefault="001E7776" w:rsidP="001E7776">
            <w:pPr>
              <w:rPr>
                <w:rFonts w:cs="Arial"/>
                <w:lang w:eastAsia="en-GB"/>
              </w:rPr>
            </w:pPr>
            <w:r w:rsidRPr="00EA3826">
              <w:rPr>
                <w:rFonts w:cs="Arial"/>
                <w:lang w:eastAsia="en-GB"/>
              </w:rPr>
              <w:t>Average household size</w:t>
            </w:r>
            <w:r w:rsidR="00FA3B56">
              <w:rPr>
                <w:rFonts w:cs="Arial"/>
                <w:lang w:eastAsia="en-GB"/>
              </w:rPr>
              <w:t xml:space="preserve"> (number of people)</w:t>
            </w:r>
          </w:p>
        </w:tc>
        <w:tc>
          <w:tcPr>
            <w:tcW w:w="1354" w:type="dxa"/>
            <w:tcBorders>
              <w:top w:val="nil"/>
              <w:left w:val="nil"/>
              <w:bottom w:val="single" w:sz="4" w:space="0" w:color="auto"/>
              <w:right w:val="single" w:sz="4" w:space="0" w:color="auto"/>
            </w:tcBorders>
            <w:shd w:val="clear" w:color="auto" w:fill="auto"/>
            <w:noWrap/>
            <w:vAlign w:val="center"/>
            <w:hideMark/>
          </w:tcPr>
          <w:p w14:paraId="2A18D04D" w14:textId="19C405AE" w:rsidR="001E7776" w:rsidRPr="00EA3826" w:rsidRDefault="001E7776" w:rsidP="001E7776">
            <w:pPr>
              <w:rPr>
                <w:rFonts w:cs="Arial"/>
                <w:lang w:eastAsia="en-GB"/>
              </w:rPr>
            </w:pPr>
            <w:r w:rsidRPr="00EA3826">
              <w:rPr>
                <w:rFonts w:cs="Arial"/>
                <w:lang w:eastAsia="en-GB"/>
              </w:rPr>
              <w:t>2.</w:t>
            </w:r>
            <w:r w:rsidR="00EA3826" w:rsidRPr="00EA3826">
              <w:rPr>
                <w:rFonts w:cs="Arial"/>
                <w:lang w:eastAsia="en-GB"/>
              </w:rPr>
              <w:t>46</w:t>
            </w:r>
          </w:p>
        </w:tc>
        <w:tc>
          <w:tcPr>
            <w:tcW w:w="1784" w:type="dxa"/>
            <w:tcBorders>
              <w:top w:val="single" w:sz="4" w:space="0" w:color="auto"/>
              <w:left w:val="nil"/>
              <w:bottom w:val="single" w:sz="4" w:space="0" w:color="auto"/>
              <w:right w:val="single" w:sz="4" w:space="0" w:color="auto"/>
            </w:tcBorders>
            <w:vAlign w:val="center"/>
          </w:tcPr>
          <w:p w14:paraId="14FBE4E7" w14:textId="23270A36" w:rsidR="001E7776" w:rsidRPr="00EA3826" w:rsidRDefault="001E7776" w:rsidP="001E7776">
            <w:pPr>
              <w:rPr>
                <w:rFonts w:cs="Arial"/>
                <w:lang w:eastAsia="en-GB"/>
              </w:rPr>
            </w:pPr>
            <w:r w:rsidRPr="00EA3826">
              <w:rPr>
                <w:rFonts w:cs="Arial"/>
                <w:lang w:eastAsia="en-GB"/>
              </w:rPr>
              <w:t>2.3</w:t>
            </w:r>
            <w:r w:rsidR="00EA3826" w:rsidRPr="00EA3826">
              <w:rPr>
                <w:rFonts w:cs="Arial"/>
                <w:lang w:eastAsia="en-GB"/>
              </w:rPr>
              <w:t>4</w:t>
            </w:r>
          </w:p>
        </w:tc>
      </w:tr>
    </w:tbl>
    <w:p w14:paraId="1AFE8AEE" w14:textId="77777777" w:rsidR="001E7776" w:rsidRPr="001E7776" w:rsidRDefault="001E7776" w:rsidP="006E5E1E">
      <w:pPr>
        <w:pStyle w:val="Source"/>
        <w:rPr>
          <w:webHidden/>
        </w:rPr>
      </w:pPr>
      <w:r w:rsidRPr="001E7776">
        <w:rPr>
          <w:webHidden/>
        </w:rPr>
        <w:t xml:space="preserve">Source: ONS 2011 (KS403EW) </w:t>
      </w:r>
    </w:p>
    <w:p w14:paraId="4DDFD0E8" w14:textId="32100E33" w:rsidR="00FA3B56" w:rsidRDefault="001E7776" w:rsidP="00D56987">
      <w:pPr>
        <w:pStyle w:val="ListNumber"/>
        <w:jc w:val="both"/>
      </w:pPr>
      <w:r w:rsidRPr="00A3702E">
        <w:t xml:space="preserve">It is also relevant to consider </w:t>
      </w:r>
      <w:r w:rsidR="00FA3B56">
        <w:t xml:space="preserve">trends in house sizes, i.e. </w:t>
      </w:r>
      <w:r w:rsidRPr="00A3702E">
        <w:t>how the number of rooms occupied by households has changed between the 2001 and 2011 Censuses. Th</w:t>
      </w:r>
      <w:r w:rsidR="00FA3B56">
        <w:t>e</w:t>
      </w:r>
      <w:r w:rsidRPr="00A3702E">
        <w:t xml:space="preserve"> me</w:t>
      </w:r>
      <w:r w:rsidR="00FA3B56">
        <w:t>asurement</w:t>
      </w:r>
      <w:r w:rsidRPr="00A3702E">
        <w:t xml:space="preserve"> </w:t>
      </w:r>
      <w:r w:rsidR="00FA3B56">
        <w:t xml:space="preserve">of number of rooms </w:t>
      </w:r>
      <w:r w:rsidRPr="00A3702E">
        <w:t xml:space="preserve">provides a proxy for the size of dwellings in a given geography. This data is presented below in </w:t>
      </w:r>
      <w:r w:rsidRPr="00A3702E">
        <w:fldChar w:fldCharType="begin"/>
      </w:r>
      <w:r w:rsidRPr="00A3702E">
        <w:instrText xml:space="preserve"> REF _Ref523823809 \h  \* MERGEFORMAT </w:instrText>
      </w:r>
      <w:r w:rsidRPr="00A3702E">
        <w:fldChar w:fldCharType="separate"/>
      </w:r>
      <w:r w:rsidR="004F6699" w:rsidRPr="004F6699">
        <w:t>Table 5</w:t>
      </w:r>
      <w:r w:rsidR="004F6699" w:rsidRPr="004F6699">
        <w:noBreakHyphen/>
        <w:t>3</w:t>
      </w:r>
      <w:r w:rsidRPr="00A3702E">
        <w:fldChar w:fldCharType="end"/>
      </w:r>
      <w:r w:rsidRPr="00A3702E">
        <w:t xml:space="preserve"> and shows that th</w:t>
      </w:r>
      <w:r w:rsidR="00A3702E" w:rsidRPr="00A3702E">
        <w:t>ere</w:t>
      </w:r>
      <w:r w:rsidR="00FA3B56">
        <w:t xml:space="preserve"> has</w:t>
      </w:r>
      <w:r w:rsidR="00A3702E" w:rsidRPr="00A3702E">
        <w:t xml:space="preserve"> been a steady increase in nearly all dwelling sizes. The largest increase is seen in 5 room homes which have increased by nearly a quarter during the inter-census period.</w:t>
      </w:r>
    </w:p>
    <w:p w14:paraId="3ED99A03" w14:textId="30F38FAF" w:rsidR="001E7776" w:rsidRPr="001E7776" w:rsidRDefault="001E7776" w:rsidP="001E7776">
      <w:pPr>
        <w:keepNext/>
        <w:spacing w:after="120"/>
        <w:ind w:left="425"/>
        <w:rPr>
          <w:rFonts w:asciiTheme="majorHAnsi" w:hAnsiTheme="majorHAnsi"/>
          <w:b/>
          <w:bCs/>
          <w:webHidden/>
          <w:color w:val="00B5E2" w:themeColor="accent1"/>
          <w:sz w:val="20"/>
        </w:rPr>
      </w:pPr>
      <w:bookmarkStart w:id="103" w:name="_Ref523823809"/>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3</w:t>
      </w:r>
      <w:r w:rsidRPr="001E7776">
        <w:rPr>
          <w:rFonts w:asciiTheme="majorHAnsi" w:hAnsiTheme="majorHAnsi"/>
          <w:b/>
          <w:bCs/>
          <w:noProof/>
          <w:color w:val="00B5E2" w:themeColor="accent1"/>
          <w:sz w:val="20"/>
        </w:rPr>
        <w:fldChar w:fldCharType="end"/>
      </w:r>
      <w:bookmarkEnd w:id="103"/>
      <w:r w:rsidRPr="001E7776">
        <w:rPr>
          <w:rFonts w:asciiTheme="majorHAnsi" w:hAnsiTheme="majorHAnsi"/>
          <w:b/>
          <w:bCs/>
          <w:color w:val="00B5E2" w:themeColor="accent1"/>
          <w:sz w:val="20"/>
        </w:rPr>
        <w:t xml:space="preserve">: Rates of change in number of rooms per household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2001-2011</w:t>
      </w:r>
    </w:p>
    <w:tbl>
      <w:tblPr>
        <w:tblW w:w="4739" w:type="pct"/>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039"/>
        <w:gridCol w:w="2278"/>
        <w:gridCol w:w="1701"/>
        <w:gridCol w:w="1411"/>
      </w:tblGrid>
      <w:tr w:rsidR="001E7776" w:rsidRPr="001E7776" w14:paraId="4A361BFF" w14:textId="77777777" w:rsidTr="00A61EB3">
        <w:trPr>
          <w:trHeight w:val="300"/>
        </w:trPr>
        <w:tc>
          <w:tcPr>
            <w:tcW w:w="2142" w:type="pct"/>
            <w:shd w:val="clear" w:color="auto" w:fill="000000"/>
            <w:noWrap/>
            <w:vAlign w:val="center"/>
            <w:hideMark/>
          </w:tcPr>
          <w:p w14:paraId="3CF64539" w14:textId="77777777" w:rsidR="001E7776" w:rsidRPr="001E7776" w:rsidRDefault="001E7776" w:rsidP="001E7776">
            <w:pPr>
              <w:rPr>
                <w:rFonts w:cs="Arial"/>
                <w:b/>
                <w:lang w:eastAsia="en-GB"/>
              </w:rPr>
            </w:pPr>
            <w:r w:rsidRPr="001E7776">
              <w:rPr>
                <w:rFonts w:cs="Arial"/>
                <w:b/>
                <w:lang w:eastAsia="en-GB"/>
              </w:rPr>
              <w:t>Number of Rooms</w:t>
            </w:r>
          </w:p>
        </w:tc>
        <w:tc>
          <w:tcPr>
            <w:tcW w:w="1208" w:type="pct"/>
            <w:shd w:val="clear" w:color="auto" w:fill="000000"/>
            <w:noWrap/>
            <w:vAlign w:val="center"/>
            <w:hideMark/>
          </w:tcPr>
          <w:p w14:paraId="4ECA7745" w14:textId="74131305" w:rsidR="001E7776" w:rsidRPr="001E7776" w:rsidRDefault="00A61EB3" w:rsidP="001E7776">
            <w:pPr>
              <w:rPr>
                <w:rFonts w:cs="Arial"/>
                <w:b/>
                <w:lang w:eastAsia="en-GB"/>
              </w:rPr>
            </w:pPr>
            <w:r>
              <w:rPr>
                <w:rFonts w:cs="Arial"/>
                <w:b/>
                <w:lang w:eastAsia="en-GB"/>
              </w:rPr>
              <w:t>Copdock and Washbrook</w:t>
            </w:r>
          </w:p>
        </w:tc>
        <w:tc>
          <w:tcPr>
            <w:tcW w:w="902" w:type="pct"/>
            <w:shd w:val="clear" w:color="auto" w:fill="000000"/>
            <w:noWrap/>
            <w:vAlign w:val="center"/>
            <w:hideMark/>
          </w:tcPr>
          <w:p w14:paraId="484E6A8E" w14:textId="1AE97767" w:rsidR="001E7776" w:rsidRPr="001E7776" w:rsidRDefault="00A61EB3" w:rsidP="001E7776">
            <w:pPr>
              <w:rPr>
                <w:rFonts w:cs="Arial"/>
                <w:b/>
                <w:lang w:eastAsia="en-GB"/>
              </w:rPr>
            </w:pPr>
            <w:r>
              <w:rPr>
                <w:rFonts w:cs="Arial"/>
                <w:b/>
                <w:lang w:eastAsia="en-GB"/>
              </w:rPr>
              <w:t>Babergh</w:t>
            </w:r>
          </w:p>
        </w:tc>
        <w:tc>
          <w:tcPr>
            <w:tcW w:w="748" w:type="pct"/>
            <w:shd w:val="clear" w:color="auto" w:fill="000000"/>
            <w:noWrap/>
            <w:vAlign w:val="center"/>
            <w:hideMark/>
          </w:tcPr>
          <w:p w14:paraId="035AB749" w14:textId="77777777" w:rsidR="001E7776" w:rsidRPr="001E7776" w:rsidRDefault="001E7776" w:rsidP="001E7776">
            <w:pPr>
              <w:rPr>
                <w:rFonts w:cs="Arial"/>
                <w:b/>
                <w:lang w:eastAsia="en-GB"/>
              </w:rPr>
            </w:pPr>
            <w:r w:rsidRPr="001E7776">
              <w:rPr>
                <w:rFonts w:cs="Arial"/>
                <w:b/>
                <w:lang w:eastAsia="en-GB"/>
              </w:rPr>
              <w:t>England</w:t>
            </w:r>
          </w:p>
        </w:tc>
      </w:tr>
      <w:tr w:rsidR="00A61EB3" w:rsidRPr="001E7776" w14:paraId="509176D2" w14:textId="77777777" w:rsidTr="00A61EB3">
        <w:trPr>
          <w:trHeight w:val="300"/>
        </w:trPr>
        <w:tc>
          <w:tcPr>
            <w:tcW w:w="2142" w:type="pct"/>
            <w:shd w:val="clear" w:color="auto" w:fill="auto"/>
            <w:noWrap/>
            <w:hideMark/>
          </w:tcPr>
          <w:p w14:paraId="18DCF37C" w14:textId="77777777" w:rsidR="00A61EB3" w:rsidRPr="001E7776" w:rsidRDefault="00A61EB3" w:rsidP="00A61EB3">
            <w:pPr>
              <w:rPr>
                <w:rFonts w:cs="Arial"/>
                <w:lang w:eastAsia="en-GB"/>
              </w:rPr>
            </w:pPr>
            <w:r w:rsidRPr="001E7776">
              <w:rPr>
                <w:rFonts w:cs="Arial"/>
                <w:lang w:eastAsia="en-GB"/>
              </w:rPr>
              <w:t>1 Room</w:t>
            </w:r>
          </w:p>
        </w:tc>
        <w:tc>
          <w:tcPr>
            <w:tcW w:w="1208" w:type="pct"/>
            <w:tcBorders>
              <w:top w:val="nil"/>
              <w:left w:val="nil"/>
              <w:bottom w:val="single" w:sz="4" w:space="0" w:color="auto"/>
              <w:right w:val="single" w:sz="4" w:space="0" w:color="auto"/>
            </w:tcBorders>
            <w:shd w:val="clear" w:color="auto" w:fill="auto"/>
            <w:noWrap/>
            <w:hideMark/>
          </w:tcPr>
          <w:p w14:paraId="6F759A76" w14:textId="4D8BEB3E" w:rsidR="00A61EB3" w:rsidRPr="001E7776" w:rsidRDefault="00A61EB3" w:rsidP="00A61EB3">
            <w:pPr>
              <w:rPr>
                <w:rFonts w:cs="Arial"/>
                <w:lang w:eastAsia="en-GB"/>
              </w:rPr>
            </w:pPr>
            <w:r w:rsidRPr="00787A19">
              <w:t>0.0%</w:t>
            </w:r>
          </w:p>
        </w:tc>
        <w:tc>
          <w:tcPr>
            <w:tcW w:w="902" w:type="pct"/>
            <w:tcBorders>
              <w:top w:val="nil"/>
              <w:left w:val="single" w:sz="4" w:space="0" w:color="auto"/>
              <w:bottom w:val="single" w:sz="4" w:space="0" w:color="auto"/>
              <w:right w:val="single" w:sz="4" w:space="0" w:color="auto"/>
            </w:tcBorders>
            <w:shd w:val="clear" w:color="auto" w:fill="auto"/>
            <w:noWrap/>
            <w:hideMark/>
          </w:tcPr>
          <w:p w14:paraId="0DB38679" w14:textId="43399188" w:rsidR="00A61EB3" w:rsidRPr="001E7776" w:rsidRDefault="00A61EB3" w:rsidP="00A61EB3">
            <w:pPr>
              <w:rPr>
                <w:rFonts w:cs="Arial"/>
                <w:lang w:eastAsia="en-GB"/>
              </w:rPr>
            </w:pPr>
            <w:r w:rsidRPr="00787A19">
              <w:t>0.2%</w:t>
            </w:r>
          </w:p>
        </w:tc>
        <w:tc>
          <w:tcPr>
            <w:tcW w:w="748" w:type="pct"/>
            <w:tcBorders>
              <w:left w:val="single" w:sz="4" w:space="0" w:color="auto"/>
            </w:tcBorders>
            <w:shd w:val="clear" w:color="auto" w:fill="auto"/>
            <w:noWrap/>
            <w:hideMark/>
          </w:tcPr>
          <w:p w14:paraId="3B3A8F1F" w14:textId="77777777" w:rsidR="00A61EB3" w:rsidRPr="001E7776" w:rsidRDefault="00A61EB3" w:rsidP="00A61EB3">
            <w:pPr>
              <w:rPr>
                <w:rFonts w:cs="Arial"/>
                <w:lang w:eastAsia="en-GB"/>
              </w:rPr>
            </w:pPr>
            <w:r w:rsidRPr="001E7776">
              <w:rPr>
                <w:rFonts w:cs="Arial"/>
                <w:lang w:eastAsia="en-GB"/>
              </w:rPr>
              <w:t>-5.2%</w:t>
            </w:r>
          </w:p>
        </w:tc>
      </w:tr>
      <w:tr w:rsidR="00A61EB3" w:rsidRPr="001E7776" w14:paraId="3CA4262E" w14:textId="77777777" w:rsidTr="00A61EB3">
        <w:trPr>
          <w:trHeight w:val="300"/>
        </w:trPr>
        <w:tc>
          <w:tcPr>
            <w:tcW w:w="2142" w:type="pct"/>
            <w:shd w:val="clear" w:color="auto" w:fill="auto"/>
            <w:noWrap/>
            <w:hideMark/>
          </w:tcPr>
          <w:p w14:paraId="778838F7" w14:textId="77777777" w:rsidR="00A61EB3" w:rsidRPr="001E7776" w:rsidRDefault="00A61EB3" w:rsidP="00A61EB3">
            <w:pPr>
              <w:rPr>
                <w:rFonts w:cs="Arial"/>
                <w:lang w:eastAsia="en-GB"/>
              </w:rPr>
            </w:pPr>
            <w:r w:rsidRPr="001E7776">
              <w:rPr>
                <w:rFonts w:cs="Arial"/>
                <w:lang w:eastAsia="en-GB"/>
              </w:rPr>
              <w:t>2 Rooms</w:t>
            </w:r>
          </w:p>
        </w:tc>
        <w:tc>
          <w:tcPr>
            <w:tcW w:w="1208" w:type="pct"/>
            <w:tcBorders>
              <w:top w:val="single" w:sz="4" w:space="0" w:color="auto"/>
              <w:left w:val="nil"/>
              <w:bottom w:val="single" w:sz="4" w:space="0" w:color="auto"/>
              <w:right w:val="single" w:sz="4" w:space="0" w:color="auto"/>
            </w:tcBorders>
            <w:shd w:val="clear" w:color="auto" w:fill="auto"/>
            <w:noWrap/>
            <w:hideMark/>
          </w:tcPr>
          <w:p w14:paraId="3FFE6466" w14:textId="5A2DC173" w:rsidR="00A61EB3" w:rsidRPr="001E7776" w:rsidRDefault="00A61EB3" w:rsidP="00A61EB3">
            <w:pPr>
              <w:rPr>
                <w:rFonts w:cs="Arial"/>
                <w:lang w:eastAsia="en-GB"/>
              </w:rPr>
            </w:pPr>
            <w:r w:rsidRPr="00787A19">
              <w:t>0.7%</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1D5E82E2" w14:textId="009C88F2" w:rsidR="00A61EB3" w:rsidRPr="001E7776" w:rsidRDefault="00A61EB3" w:rsidP="00A61EB3">
            <w:pPr>
              <w:rPr>
                <w:rFonts w:cs="Arial"/>
                <w:lang w:eastAsia="en-GB"/>
              </w:rPr>
            </w:pPr>
            <w:r w:rsidRPr="00787A19">
              <w:t>1.3%</w:t>
            </w:r>
          </w:p>
        </w:tc>
        <w:tc>
          <w:tcPr>
            <w:tcW w:w="748" w:type="pct"/>
            <w:tcBorders>
              <w:left w:val="single" w:sz="4" w:space="0" w:color="auto"/>
            </w:tcBorders>
            <w:shd w:val="clear" w:color="auto" w:fill="auto"/>
            <w:noWrap/>
            <w:hideMark/>
          </w:tcPr>
          <w:p w14:paraId="4DCFEC2C" w14:textId="77777777" w:rsidR="00A61EB3" w:rsidRPr="001E7776" w:rsidRDefault="00A61EB3" w:rsidP="00A61EB3">
            <w:pPr>
              <w:rPr>
                <w:rFonts w:cs="Arial"/>
                <w:lang w:eastAsia="en-GB"/>
              </w:rPr>
            </w:pPr>
            <w:r w:rsidRPr="001E7776">
              <w:rPr>
                <w:rFonts w:cs="Arial"/>
                <w:lang w:eastAsia="en-GB"/>
              </w:rPr>
              <w:t>24.2%</w:t>
            </w:r>
          </w:p>
        </w:tc>
      </w:tr>
      <w:tr w:rsidR="00A61EB3" w:rsidRPr="001E7776" w14:paraId="74D43814" w14:textId="77777777" w:rsidTr="00A61EB3">
        <w:trPr>
          <w:trHeight w:val="300"/>
        </w:trPr>
        <w:tc>
          <w:tcPr>
            <w:tcW w:w="2142" w:type="pct"/>
            <w:shd w:val="clear" w:color="auto" w:fill="auto"/>
            <w:noWrap/>
            <w:hideMark/>
          </w:tcPr>
          <w:p w14:paraId="00599685" w14:textId="77777777" w:rsidR="00A61EB3" w:rsidRPr="001E7776" w:rsidRDefault="00A61EB3" w:rsidP="00A61EB3">
            <w:pPr>
              <w:rPr>
                <w:rFonts w:cs="Arial"/>
                <w:lang w:eastAsia="en-GB"/>
              </w:rPr>
            </w:pPr>
            <w:r w:rsidRPr="001E7776">
              <w:rPr>
                <w:rFonts w:cs="Arial"/>
                <w:lang w:eastAsia="en-GB"/>
              </w:rPr>
              <w:t>3 Rooms</w:t>
            </w:r>
          </w:p>
        </w:tc>
        <w:tc>
          <w:tcPr>
            <w:tcW w:w="1208" w:type="pct"/>
            <w:tcBorders>
              <w:top w:val="single" w:sz="4" w:space="0" w:color="auto"/>
              <w:left w:val="nil"/>
              <w:bottom w:val="single" w:sz="4" w:space="0" w:color="auto"/>
              <w:right w:val="single" w:sz="4" w:space="0" w:color="auto"/>
            </w:tcBorders>
            <w:shd w:val="clear" w:color="auto" w:fill="auto"/>
            <w:noWrap/>
            <w:hideMark/>
          </w:tcPr>
          <w:p w14:paraId="07F01DB3" w14:textId="432EF8E4" w:rsidR="00A61EB3" w:rsidRPr="001E7776" w:rsidRDefault="00A61EB3" w:rsidP="00A61EB3">
            <w:pPr>
              <w:rPr>
                <w:rFonts w:cs="Arial"/>
                <w:lang w:eastAsia="en-GB"/>
              </w:rPr>
            </w:pPr>
            <w:r w:rsidRPr="00787A19">
              <w:t>3.3%</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21B0040B" w14:textId="69E1584B" w:rsidR="00A61EB3" w:rsidRPr="001E7776" w:rsidRDefault="00A61EB3" w:rsidP="00A61EB3">
            <w:pPr>
              <w:rPr>
                <w:rFonts w:cs="Arial"/>
                <w:lang w:eastAsia="en-GB"/>
              </w:rPr>
            </w:pPr>
            <w:r w:rsidRPr="00787A19">
              <w:t>5.3%</w:t>
            </w:r>
          </w:p>
        </w:tc>
        <w:tc>
          <w:tcPr>
            <w:tcW w:w="748" w:type="pct"/>
            <w:tcBorders>
              <w:left w:val="single" w:sz="4" w:space="0" w:color="auto"/>
            </w:tcBorders>
            <w:shd w:val="clear" w:color="auto" w:fill="auto"/>
            <w:noWrap/>
            <w:hideMark/>
          </w:tcPr>
          <w:p w14:paraId="7897DBB2" w14:textId="77777777" w:rsidR="00A61EB3" w:rsidRPr="001E7776" w:rsidRDefault="00A61EB3" w:rsidP="00A61EB3">
            <w:pPr>
              <w:rPr>
                <w:rFonts w:cs="Arial"/>
                <w:lang w:eastAsia="en-GB"/>
              </w:rPr>
            </w:pPr>
            <w:r w:rsidRPr="001E7776">
              <w:rPr>
                <w:rFonts w:cs="Arial"/>
                <w:lang w:eastAsia="en-GB"/>
              </w:rPr>
              <w:t>20.4%</w:t>
            </w:r>
          </w:p>
        </w:tc>
      </w:tr>
      <w:tr w:rsidR="00A61EB3" w:rsidRPr="001E7776" w14:paraId="35C3D5A0" w14:textId="77777777" w:rsidTr="00A61EB3">
        <w:trPr>
          <w:trHeight w:val="300"/>
        </w:trPr>
        <w:tc>
          <w:tcPr>
            <w:tcW w:w="2142" w:type="pct"/>
            <w:shd w:val="clear" w:color="auto" w:fill="auto"/>
            <w:noWrap/>
            <w:hideMark/>
          </w:tcPr>
          <w:p w14:paraId="0C785BF8" w14:textId="77777777" w:rsidR="00A61EB3" w:rsidRPr="001E7776" w:rsidRDefault="00A61EB3" w:rsidP="00A61EB3">
            <w:pPr>
              <w:rPr>
                <w:rFonts w:cs="Arial"/>
                <w:lang w:eastAsia="en-GB"/>
              </w:rPr>
            </w:pPr>
            <w:r w:rsidRPr="001E7776">
              <w:rPr>
                <w:rFonts w:cs="Arial"/>
                <w:lang w:eastAsia="en-GB"/>
              </w:rPr>
              <w:t>4 Rooms</w:t>
            </w:r>
          </w:p>
        </w:tc>
        <w:tc>
          <w:tcPr>
            <w:tcW w:w="1208" w:type="pct"/>
            <w:tcBorders>
              <w:top w:val="single" w:sz="4" w:space="0" w:color="auto"/>
              <w:left w:val="nil"/>
              <w:bottom w:val="single" w:sz="4" w:space="0" w:color="auto"/>
              <w:right w:val="single" w:sz="4" w:space="0" w:color="auto"/>
            </w:tcBorders>
            <w:shd w:val="clear" w:color="auto" w:fill="auto"/>
            <w:noWrap/>
            <w:hideMark/>
          </w:tcPr>
          <w:p w14:paraId="006CE096" w14:textId="31E66536" w:rsidR="00A61EB3" w:rsidRPr="001E7776" w:rsidRDefault="00A61EB3" w:rsidP="00A61EB3">
            <w:pPr>
              <w:rPr>
                <w:rFonts w:cs="Arial"/>
                <w:lang w:eastAsia="en-GB"/>
              </w:rPr>
            </w:pPr>
            <w:r w:rsidRPr="00787A19">
              <w:t>15.3%</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6BF08367" w14:textId="2E5AFB29" w:rsidR="00A61EB3" w:rsidRPr="001E7776" w:rsidRDefault="00A61EB3" w:rsidP="00A61EB3">
            <w:pPr>
              <w:rPr>
                <w:rFonts w:cs="Arial"/>
                <w:lang w:eastAsia="en-GB"/>
              </w:rPr>
            </w:pPr>
            <w:r w:rsidRPr="00787A19">
              <w:t>15.9%</w:t>
            </w:r>
          </w:p>
        </w:tc>
        <w:tc>
          <w:tcPr>
            <w:tcW w:w="748" w:type="pct"/>
            <w:tcBorders>
              <w:left w:val="single" w:sz="4" w:space="0" w:color="auto"/>
            </w:tcBorders>
            <w:shd w:val="clear" w:color="auto" w:fill="auto"/>
            <w:noWrap/>
            <w:hideMark/>
          </w:tcPr>
          <w:p w14:paraId="04EDE701" w14:textId="77777777" w:rsidR="00A61EB3" w:rsidRPr="001E7776" w:rsidRDefault="00A61EB3" w:rsidP="00A61EB3">
            <w:pPr>
              <w:rPr>
                <w:rFonts w:cs="Arial"/>
                <w:lang w:eastAsia="en-GB"/>
              </w:rPr>
            </w:pPr>
            <w:r w:rsidRPr="001E7776">
              <w:rPr>
                <w:rFonts w:cs="Arial"/>
                <w:lang w:eastAsia="en-GB"/>
              </w:rPr>
              <w:t>3.5%</w:t>
            </w:r>
          </w:p>
        </w:tc>
      </w:tr>
      <w:tr w:rsidR="00A61EB3" w:rsidRPr="001E7776" w14:paraId="22C39F18" w14:textId="77777777" w:rsidTr="00A61EB3">
        <w:trPr>
          <w:trHeight w:val="300"/>
        </w:trPr>
        <w:tc>
          <w:tcPr>
            <w:tcW w:w="2142" w:type="pct"/>
            <w:shd w:val="clear" w:color="auto" w:fill="auto"/>
            <w:noWrap/>
            <w:hideMark/>
          </w:tcPr>
          <w:p w14:paraId="34E720CF" w14:textId="77777777" w:rsidR="00A61EB3" w:rsidRPr="001E7776" w:rsidRDefault="00A61EB3" w:rsidP="00A61EB3">
            <w:pPr>
              <w:rPr>
                <w:rFonts w:cs="Arial"/>
                <w:lang w:eastAsia="en-GB"/>
              </w:rPr>
            </w:pPr>
            <w:r w:rsidRPr="001E7776">
              <w:rPr>
                <w:rFonts w:cs="Arial"/>
                <w:lang w:eastAsia="en-GB"/>
              </w:rPr>
              <w:t>5 Rooms</w:t>
            </w:r>
          </w:p>
        </w:tc>
        <w:tc>
          <w:tcPr>
            <w:tcW w:w="1208" w:type="pct"/>
            <w:tcBorders>
              <w:top w:val="single" w:sz="4" w:space="0" w:color="auto"/>
              <w:left w:val="nil"/>
              <w:bottom w:val="single" w:sz="4" w:space="0" w:color="auto"/>
              <w:right w:val="single" w:sz="4" w:space="0" w:color="auto"/>
            </w:tcBorders>
            <w:shd w:val="clear" w:color="auto" w:fill="auto"/>
            <w:noWrap/>
            <w:hideMark/>
          </w:tcPr>
          <w:p w14:paraId="21E27C31" w14:textId="174AE4F0" w:rsidR="00A61EB3" w:rsidRPr="001E7776" w:rsidRDefault="00A61EB3" w:rsidP="00A61EB3">
            <w:pPr>
              <w:rPr>
                <w:rFonts w:cs="Arial"/>
                <w:lang w:eastAsia="en-GB"/>
              </w:rPr>
            </w:pPr>
            <w:r w:rsidRPr="00787A19">
              <w:t>23.9%</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08C33939" w14:textId="689AEA1D" w:rsidR="00A61EB3" w:rsidRPr="001E7776" w:rsidRDefault="00A61EB3" w:rsidP="00A61EB3">
            <w:pPr>
              <w:rPr>
                <w:rFonts w:cs="Arial"/>
                <w:lang w:eastAsia="en-GB"/>
              </w:rPr>
            </w:pPr>
            <w:r w:rsidRPr="00787A19">
              <w:t>24.5%</w:t>
            </w:r>
          </w:p>
        </w:tc>
        <w:tc>
          <w:tcPr>
            <w:tcW w:w="748" w:type="pct"/>
            <w:tcBorders>
              <w:left w:val="single" w:sz="4" w:space="0" w:color="auto"/>
            </w:tcBorders>
            <w:shd w:val="clear" w:color="auto" w:fill="auto"/>
            <w:noWrap/>
            <w:hideMark/>
          </w:tcPr>
          <w:p w14:paraId="4476F5E1" w14:textId="77777777" w:rsidR="00A61EB3" w:rsidRPr="001E7776" w:rsidRDefault="00A61EB3" w:rsidP="00A61EB3">
            <w:pPr>
              <w:rPr>
                <w:rFonts w:cs="Arial"/>
                <w:lang w:eastAsia="en-GB"/>
              </w:rPr>
            </w:pPr>
            <w:r w:rsidRPr="001E7776">
              <w:rPr>
                <w:rFonts w:cs="Arial"/>
                <w:lang w:eastAsia="en-GB"/>
              </w:rPr>
              <w:t>-1.8%</w:t>
            </w:r>
          </w:p>
        </w:tc>
      </w:tr>
      <w:tr w:rsidR="00A61EB3" w:rsidRPr="001E7776" w14:paraId="1B5CFD66" w14:textId="77777777" w:rsidTr="00A61EB3">
        <w:trPr>
          <w:trHeight w:val="300"/>
        </w:trPr>
        <w:tc>
          <w:tcPr>
            <w:tcW w:w="2142" w:type="pct"/>
            <w:shd w:val="clear" w:color="auto" w:fill="auto"/>
            <w:noWrap/>
            <w:hideMark/>
          </w:tcPr>
          <w:p w14:paraId="45BB13D7" w14:textId="77777777" w:rsidR="00A61EB3" w:rsidRPr="001E7776" w:rsidRDefault="00A61EB3" w:rsidP="00A61EB3">
            <w:pPr>
              <w:rPr>
                <w:rFonts w:cs="Arial"/>
                <w:lang w:eastAsia="en-GB"/>
              </w:rPr>
            </w:pPr>
            <w:r w:rsidRPr="001E7776">
              <w:rPr>
                <w:rFonts w:cs="Arial"/>
                <w:lang w:eastAsia="en-GB"/>
              </w:rPr>
              <w:t>6 Rooms</w:t>
            </w:r>
          </w:p>
        </w:tc>
        <w:tc>
          <w:tcPr>
            <w:tcW w:w="1208" w:type="pct"/>
            <w:tcBorders>
              <w:top w:val="single" w:sz="4" w:space="0" w:color="auto"/>
              <w:left w:val="nil"/>
              <w:bottom w:val="single" w:sz="4" w:space="0" w:color="auto"/>
              <w:right w:val="single" w:sz="4" w:space="0" w:color="auto"/>
            </w:tcBorders>
            <w:shd w:val="clear" w:color="auto" w:fill="auto"/>
            <w:noWrap/>
            <w:hideMark/>
          </w:tcPr>
          <w:p w14:paraId="34F4FAD2" w14:textId="1612C290" w:rsidR="00A61EB3" w:rsidRPr="001E7776" w:rsidRDefault="00A61EB3" w:rsidP="00A61EB3">
            <w:pPr>
              <w:rPr>
                <w:rFonts w:cs="Arial"/>
                <w:lang w:eastAsia="en-GB"/>
              </w:rPr>
            </w:pPr>
            <w:r w:rsidRPr="00787A19">
              <w:t>17.0%</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35470A5B" w14:textId="7D4A83F1" w:rsidR="00A61EB3" w:rsidRPr="001E7776" w:rsidRDefault="00A61EB3" w:rsidP="00A61EB3">
            <w:pPr>
              <w:rPr>
                <w:rFonts w:cs="Arial"/>
                <w:lang w:eastAsia="en-GB"/>
              </w:rPr>
            </w:pPr>
            <w:r w:rsidRPr="00787A19">
              <w:t>19.5%</w:t>
            </w:r>
          </w:p>
        </w:tc>
        <w:tc>
          <w:tcPr>
            <w:tcW w:w="748" w:type="pct"/>
            <w:tcBorders>
              <w:left w:val="single" w:sz="4" w:space="0" w:color="auto"/>
            </w:tcBorders>
            <w:shd w:val="clear" w:color="auto" w:fill="auto"/>
            <w:noWrap/>
            <w:hideMark/>
          </w:tcPr>
          <w:p w14:paraId="01650427" w14:textId="77777777" w:rsidR="00A61EB3" w:rsidRPr="001E7776" w:rsidRDefault="00A61EB3" w:rsidP="00A61EB3">
            <w:pPr>
              <w:rPr>
                <w:rFonts w:cs="Arial"/>
                <w:lang w:eastAsia="en-GB"/>
              </w:rPr>
            </w:pPr>
            <w:r w:rsidRPr="001E7776">
              <w:rPr>
                <w:rFonts w:cs="Arial"/>
                <w:lang w:eastAsia="en-GB"/>
              </w:rPr>
              <w:t>2.1%</w:t>
            </w:r>
          </w:p>
        </w:tc>
      </w:tr>
      <w:tr w:rsidR="00A61EB3" w:rsidRPr="001E7776" w14:paraId="1AC141A3" w14:textId="77777777" w:rsidTr="00A61EB3">
        <w:trPr>
          <w:trHeight w:val="300"/>
        </w:trPr>
        <w:tc>
          <w:tcPr>
            <w:tcW w:w="2142" w:type="pct"/>
            <w:shd w:val="clear" w:color="auto" w:fill="auto"/>
            <w:noWrap/>
            <w:hideMark/>
          </w:tcPr>
          <w:p w14:paraId="5971F27E" w14:textId="77777777" w:rsidR="00A61EB3" w:rsidRPr="001E7776" w:rsidRDefault="00A61EB3" w:rsidP="00A61EB3">
            <w:pPr>
              <w:rPr>
                <w:rFonts w:cs="Arial"/>
                <w:lang w:eastAsia="en-GB"/>
              </w:rPr>
            </w:pPr>
            <w:r w:rsidRPr="001E7776">
              <w:rPr>
                <w:rFonts w:cs="Arial"/>
                <w:lang w:eastAsia="en-GB"/>
              </w:rPr>
              <w:t>7 Rooms</w:t>
            </w:r>
          </w:p>
        </w:tc>
        <w:tc>
          <w:tcPr>
            <w:tcW w:w="1208" w:type="pct"/>
            <w:tcBorders>
              <w:top w:val="single" w:sz="4" w:space="0" w:color="auto"/>
              <w:left w:val="nil"/>
              <w:bottom w:val="single" w:sz="4" w:space="0" w:color="auto"/>
              <w:right w:val="single" w:sz="4" w:space="0" w:color="auto"/>
            </w:tcBorders>
            <w:shd w:val="clear" w:color="auto" w:fill="auto"/>
            <w:noWrap/>
            <w:hideMark/>
          </w:tcPr>
          <w:p w14:paraId="0370B936" w14:textId="65AF600C" w:rsidR="00A61EB3" w:rsidRPr="001E7776" w:rsidRDefault="00A61EB3" w:rsidP="00A61EB3">
            <w:pPr>
              <w:rPr>
                <w:rFonts w:cs="Arial"/>
                <w:lang w:eastAsia="en-GB"/>
              </w:rPr>
            </w:pPr>
            <w:r w:rsidRPr="00787A19">
              <w:t>16.4%</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167DF7EE" w14:textId="1071581A" w:rsidR="00A61EB3" w:rsidRPr="001E7776" w:rsidRDefault="00A61EB3" w:rsidP="00A61EB3">
            <w:pPr>
              <w:rPr>
                <w:rFonts w:cs="Arial"/>
                <w:lang w:eastAsia="en-GB"/>
              </w:rPr>
            </w:pPr>
            <w:r w:rsidRPr="00787A19">
              <w:t>12.6%</w:t>
            </w:r>
          </w:p>
        </w:tc>
        <w:tc>
          <w:tcPr>
            <w:tcW w:w="748" w:type="pct"/>
            <w:tcBorders>
              <w:left w:val="single" w:sz="4" w:space="0" w:color="auto"/>
            </w:tcBorders>
            <w:shd w:val="clear" w:color="auto" w:fill="auto"/>
            <w:noWrap/>
            <w:hideMark/>
          </w:tcPr>
          <w:p w14:paraId="799D187C" w14:textId="77777777" w:rsidR="00A61EB3" w:rsidRPr="001E7776" w:rsidRDefault="00A61EB3" w:rsidP="00A61EB3">
            <w:pPr>
              <w:rPr>
                <w:rFonts w:cs="Arial"/>
                <w:lang w:eastAsia="en-GB"/>
              </w:rPr>
            </w:pPr>
            <w:r w:rsidRPr="001E7776">
              <w:rPr>
                <w:rFonts w:cs="Arial"/>
                <w:lang w:eastAsia="en-GB"/>
              </w:rPr>
              <w:t>17.9%</w:t>
            </w:r>
          </w:p>
        </w:tc>
      </w:tr>
      <w:tr w:rsidR="00A61EB3" w:rsidRPr="001E7776" w14:paraId="06136F0F" w14:textId="77777777" w:rsidTr="00A61EB3">
        <w:trPr>
          <w:trHeight w:val="300"/>
        </w:trPr>
        <w:tc>
          <w:tcPr>
            <w:tcW w:w="2142" w:type="pct"/>
            <w:shd w:val="clear" w:color="auto" w:fill="auto"/>
            <w:noWrap/>
            <w:hideMark/>
          </w:tcPr>
          <w:p w14:paraId="02FFD5F9" w14:textId="77777777" w:rsidR="00A61EB3" w:rsidRPr="001E7776" w:rsidRDefault="00A61EB3" w:rsidP="00A61EB3">
            <w:pPr>
              <w:rPr>
                <w:rFonts w:cs="Arial"/>
                <w:lang w:eastAsia="en-GB"/>
              </w:rPr>
            </w:pPr>
            <w:r w:rsidRPr="001E7776">
              <w:rPr>
                <w:rFonts w:cs="Arial"/>
                <w:lang w:eastAsia="en-GB"/>
              </w:rPr>
              <w:t>8 Rooms or more</w:t>
            </w:r>
          </w:p>
        </w:tc>
        <w:tc>
          <w:tcPr>
            <w:tcW w:w="1208" w:type="pct"/>
            <w:tcBorders>
              <w:top w:val="single" w:sz="4" w:space="0" w:color="auto"/>
              <w:left w:val="nil"/>
              <w:bottom w:val="single" w:sz="4" w:space="0" w:color="auto"/>
              <w:right w:val="single" w:sz="4" w:space="0" w:color="auto"/>
            </w:tcBorders>
            <w:shd w:val="clear" w:color="auto" w:fill="auto"/>
            <w:noWrap/>
            <w:hideMark/>
          </w:tcPr>
          <w:p w14:paraId="2BC05713" w14:textId="27CB87BE" w:rsidR="00A61EB3" w:rsidRPr="001E7776" w:rsidRDefault="00A61EB3" w:rsidP="00A61EB3">
            <w:pPr>
              <w:rPr>
                <w:rFonts w:cs="Arial"/>
                <w:lang w:eastAsia="en-GB"/>
              </w:rPr>
            </w:pPr>
            <w:r w:rsidRPr="00787A19">
              <w:t>10.8%</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14:paraId="0CD92E6D" w14:textId="51FAC551" w:rsidR="00A61EB3" w:rsidRPr="001E7776" w:rsidRDefault="00A61EB3" w:rsidP="00A61EB3">
            <w:pPr>
              <w:rPr>
                <w:rFonts w:cs="Arial"/>
                <w:lang w:eastAsia="en-GB"/>
              </w:rPr>
            </w:pPr>
            <w:r w:rsidRPr="00787A19">
              <w:t>9.6%</w:t>
            </w:r>
          </w:p>
        </w:tc>
        <w:tc>
          <w:tcPr>
            <w:tcW w:w="748" w:type="pct"/>
            <w:tcBorders>
              <w:left w:val="single" w:sz="4" w:space="0" w:color="auto"/>
            </w:tcBorders>
            <w:shd w:val="clear" w:color="auto" w:fill="auto"/>
            <w:noWrap/>
            <w:hideMark/>
          </w:tcPr>
          <w:p w14:paraId="02D6D0C3" w14:textId="77777777" w:rsidR="00A61EB3" w:rsidRPr="001E7776" w:rsidRDefault="00A61EB3" w:rsidP="00A61EB3">
            <w:pPr>
              <w:rPr>
                <w:rFonts w:cs="Arial"/>
                <w:lang w:eastAsia="en-GB"/>
              </w:rPr>
            </w:pPr>
            <w:r w:rsidRPr="001E7776">
              <w:rPr>
                <w:rFonts w:cs="Arial"/>
                <w:lang w:eastAsia="en-GB"/>
              </w:rPr>
              <w:t>29.8%</w:t>
            </w:r>
          </w:p>
        </w:tc>
      </w:tr>
    </w:tbl>
    <w:p w14:paraId="329837FE" w14:textId="77777777" w:rsidR="001E7776" w:rsidRPr="001E7776" w:rsidRDefault="001E7776" w:rsidP="006E5E1E">
      <w:pPr>
        <w:pStyle w:val="Source"/>
      </w:pPr>
      <w:r w:rsidRPr="001E7776">
        <w:rPr>
          <w:webHidden/>
        </w:rPr>
        <w:t>Source: ONS 2011, AECOM Calculations</w:t>
      </w:r>
    </w:p>
    <w:p w14:paraId="14A8D5D2" w14:textId="7AF61227" w:rsidR="001E7776" w:rsidRPr="00A3702E" w:rsidRDefault="001E7776" w:rsidP="00D56987">
      <w:pPr>
        <w:pStyle w:val="ListNumber"/>
        <w:jc w:val="both"/>
      </w:pPr>
      <w:r w:rsidRPr="00A3702E">
        <w:fldChar w:fldCharType="begin"/>
      </w:r>
      <w:r w:rsidRPr="00A3702E">
        <w:instrText xml:space="preserve"> REF _Ref523909565 \h  \* MERGEFORMAT </w:instrText>
      </w:r>
      <w:r w:rsidRPr="00A3702E">
        <w:fldChar w:fldCharType="separate"/>
      </w:r>
      <w:r w:rsidR="004F6699" w:rsidRPr="004F6699">
        <w:t>Table 5</w:t>
      </w:r>
      <w:r w:rsidR="004F6699" w:rsidRPr="004F6699">
        <w:noBreakHyphen/>
        <w:t>4</w:t>
      </w:r>
      <w:r w:rsidRPr="00A3702E">
        <w:fldChar w:fldCharType="end"/>
      </w:r>
      <w:r w:rsidRPr="00A3702E">
        <w:t xml:space="preserve"> below sets out the distribution of the number of rooms by household (</w:t>
      </w:r>
      <w:r w:rsidR="00B15076">
        <w:t xml:space="preserve">i.e. by </w:t>
      </w:r>
      <w:r w:rsidRPr="00A3702E">
        <w:t>household space</w:t>
      </w:r>
      <w:r w:rsidR="00B15076">
        <w:t>, which as noted above, for the purposes of analysis in Copdock and Washbrook, broadly equates to an individual dwelling due to likely low rates of shared dwellings</w:t>
      </w:r>
      <w:r w:rsidRPr="00A3702E">
        <w:t>). From this data,</w:t>
      </w:r>
      <w:bookmarkStart w:id="104" w:name="_Hlk7378291"/>
      <w:r w:rsidRPr="00A3702E">
        <w:t xml:space="preserve"> 9</w:t>
      </w:r>
      <w:r w:rsidR="00A3702E" w:rsidRPr="00A3702E">
        <w:t>6</w:t>
      </w:r>
      <w:r w:rsidRPr="00A3702E">
        <w:t xml:space="preserve">% of the stock in </w:t>
      </w:r>
      <w:r w:rsidR="00A61EB3" w:rsidRPr="00A3702E">
        <w:t>Copdock and Washbrook</w:t>
      </w:r>
      <w:r w:rsidRPr="00A3702E">
        <w:t xml:space="preserve"> can be considered family dwellings (four rooms or more) and </w:t>
      </w:r>
      <w:r w:rsidR="00A3702E" w:rsidRPr="00A3702E">
        <w:t>nearly a quarter</w:t>
      </w:r>
      <w:r w:rsidRPr="00A3702E">
        <w:t xml:space="preserve"> of them are </w:t>
      </w:r>
      <w:r w:rsidR="00B15076">
        <w:t xml:space="preserve">very </w:t>
      </w:r>
      <w:r w:rsidRPr="00A3702E">
        <w:t xml:space="preserve">large properties (with 8 rooms or more). </w:t>
      </w:r>
      <w:r w:rsidR="00A3702E" w:rsidRPr="00A3702E">
        <w:t>Smaller properties (1-3 rooms) make up just 4% of the parish’s housing stock</w:t>
      </w:r>
      <w:r w:rsidRPr="00A3702E">
        <w:t xml:space="preserve">. </w:t>
      </w:r>
      <w:bookmarkEnd w:id="104"/>
      <w:r w:rsidRPr="00A3702E">
        <w:t xml:space="preserve">It is evident from </w:t>
      </w:r>
      <w:r w:rsidRPr="00A3702E">
        <w:fldChar w:fldCharType="begin"/>
      </w:r>
      <w:r w:rsidRPr="00A3702E">
        <w:instrText xml:space="preserve"> REF _Ref523909565 \h  \* MERGEFORMAT </w:instrText>
      </w:r>
      <w:r w:rsidRPr="00A3702E">
        <w:fldChar w:fldCharType="separate"/>
      </w:r>
      <w:r w:rsidR="004F6699" w:rsidRPr="004F6699">
        <w:t xml:space="preserve">Table </w:t>
      </w:r>
      <w:r w:rsidR="004F6699" w:rsidRPr="004F6699">
        <w:rPr>
          <w:noProof/>
        </w:rPr>
        <w:t>5</w:t>
      </w:r>
      <w:r w:rsidR="004F6699" w:rsidRPr="004F6699">
        <w:rPr>
          <w:noProof/>
        </w:rPr>
        <w:noBreakHyphen/>
        <w:t>4</w:t>
      </w:r>
      <w:r w:rsidRPr="00A3702E">
        <w:fldChar w:fldCharType="end"/>
      </w:r>
      <w:r w:rsidRPr="00A3702E">
        <w:t xml:space="preserve"> below that these figures align </w:t>
      </w:r>
      <w:r w:rsidR="00B15076">
        <w:t xml:space="preserve">reasonably </w:t>
      </w:r>
      <w:r w:rsidRPr="00A3702E">
        <w:t xml:space="preserve">closely with </w:t>
      </w:r>
      <w:r w:rsidR="00B15076">
        <w:t xml:space="preserve">those of </w:t>
      </w:r>
      <w:r w:rsidRPr="00A3702E">
        <w:t>the District</w:t>
      </w:r>
      <w:r w:rsidR="00B15076">
        <w:t xml:space="preserve"> as a whole</w:t>
      </w:r>
      <w:r w:rsidRPr="00A3702E">
        <w:t>.</w:t>
      </w:r>
    </w:p>
    <w:p w14:paraId="2C1F999E" w14:textId="31240F4F" w:rsidR="001E7776" w:rsidRPr="001E7776" w:rsidRDefault="001E7776" w:rsidP="001E7776">
      <w:pPr>
        <w:keepNext/>
        <w:spacing w:after="120"/>
        <w:ind w:left="425"/>
        <w:rPr>
          <w:rFonts w:asciiTheme="majorHAnsi" w:hAnsiTheme="majorHAnsi"/>
          <w:b/>
          <w:bCs/>
          <w:color w:val="00B5E2" w:themeColor="accent1"/>
          <w:sz w:val="20"/>
        </w:rPr>
      </w:pPr>
      <w:bookmarkStart w:id="105" w:name="_Ref523909565"/>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4</w:t>
      </w:r>
      <w:r w:rsidRPr="001E7776">
        <w:rPr>
          <w:rFonts w:asciiTheme="majorHAnsi" w:hAnsiTheme="majorHAnsi"/>
          <w:b/>
          <w:bCs/>
          <w:noProof/>
          <w:color w:val="00B5E2" w:themeColor="accent1"/>
          <w:sz w:val="20"/>
        </w:rPr>
        <w:fldChar w:fldCharType="end"/>
      </w:r>
      <w:bookmarkEnd w:id="105"/>
      <w:r w:rsidRPr="001E7776">
        <w:rPr>
          <w:rFonts w:asciiTheme="majorHAnsi" w:hAnsiTheme="majorHAnsi"/>
          <w:b/>
          <w:bCs/>
          <w:color w:val="00B5E2" w:themeColor="accent1"/>
          <w:sz w:val="20"/>
        </w:rPr>
        <w:t>: Number of rooms per household space, 2011</w:t>
      </w:r>
    </w:p>
    <w:tbl>
      <w:tblPr>
        <w:tblpPr w:leftFromText="180" w:rightFromText="180" w:vertAnchor="text" w:horzAnchor="margin" w:tblpX="483" w:tblpY="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302"/>
        <w:gridCol w:w="1912"/>
        <w:gridCol w:w="1912"/>
        <w:gridCol w:w="1912"/>
        <w:gridCol w:w="1910"/>
      </w:tblGrid>
      <w:tr w:rsidR="001E7776" w:rsidRPr="001E7776" w14:paraId="22FACE95" w14:textId="77777777" w:rsidTr="001E7776">
        <w:trPr>
          <w:trHeight w:val="288"/>
        </w:trPr>
        <w:tc>
          <w:tcPr>
            <w:tcW w:w="1157" w:type="pct"/>
            <w:shd w:val="clear" w:color="auto" w:fill="000000"/>
            <w:noWrap/>
            <w:hideMark/>
          </w:tcPr>
          <w:p w14:paraId="535506B2" w14:textId="77777777" w:rsidR="001E7776" w:rsidRPr="001E7776" w:rsidRDefault="001E7776" w:rsidP="001E7776">
            <w:pPr>
              <w:rPr>
                <w:rFonts w:cs="Arial"/>
                <w:b/>
                <w:lang w:eastAsia="en-GB"/>
              </w:rPr>
            </w:pPr>
            <w:r w:rsidRPr="001E7776">
              <w:rPr>
                <w:rFonts w:cs="Arial"/>
                <w:b/>
                <w:lang w:eastAsia="en-GB"/>
              </w:rPr>
              <w:t>Number of Rooms 2011</w:t>
            </w:r>
          </w:p>
        </w:tc>
        <w:tc>
          <w:tcPr>
            <w:tcW w:w="1922" w:type="pct"/>
            <w:gridSpan w:val="2"/>
            <w:shd w:val="clear" w:color="auto" w:fill="000000"/>
            <w:noWrap/>
            <w:hideMark/>
          </w:tcPr>
          <w:p w14:paraId="7FEEB702" w14:textId="0136BF5A" w:rsidR="001E7776" w:rsidRPr="001E7776" w:rsidRDefault="00A61EB3" w:rsidP="001E7776">
            <w:pPr>
              <w:jc w:val="center"/>
              <w:rPr>
                <w:rFonts w:cs="Arial"/>
                <w:b/>
                <w:lang w:eastAsia="en-GB"/>
              </w:rPr>
            </w:pPr>
            <w:r>
              <w:rPr>
                <w:rFonts w:cs="Arial"/>
                <w:b/>
                <w:lang w:eastAsia="en-GB"/>
              </w:rPr>
              <w:t>Copdock and Washbrook</w:t>
            </w:r>
          </w:p>
        </w:tc>
        <w:tc>
          <w:tcPr>
            <w:tcW w:w="1921" w:type="pct"/>
            <w:gridSpan w:val="2"/>
            <w:shd w:val="clear" w:color="auto" w:fill="000000"/>
            <w:noWrap/>
            <w:hideMark/>
          </w:tcPr>
          <w:p w14:paraId="03EFD63F" w14:textId="6A185ACA" w:rsidR="001E7776" w:rsidRPr="001E7776" w:rsidRDefault="00A61EB3" w:rsidP="001E7776">
            <w:pPr>
              <w:jc w:val="center"/>
              <w:rPr>
                <w:rFonts w:cs="Arial"/>
                <w:lang w:eastAsia="en-GB"/>
              </w:rPr>
            </w:pPr>
            <w:r>
              <w:rPr>
                <w:rFonts w:cs="Arial"/>
                <w:b/>
                <w:lang w:eastAsia="en-GB"/>
              </w:rPr>
              <w:t>Babergh</w:t>
            </w:r>
          </w:p>
        </w:tc>
      </w:tr>
      <w:tr w:rsidR="001E7776" w:rsidRPr="001E7776" w14:paraId="3A9C02EC" w14:textId="77777777" w:rsidTr="001E7776">
        <w:trPr>
          <w:trHeight w:val="288"/>
        </w:trPr>
        <w:tc>
          <w:tcPr>
            <w:tcW w:w="1157" w:type="pct"/>
            <w:shd w:val="clear" w:color="auto" w:fill="auto"/>
            <w:noWrap/>
          </w:tcPr>
          <w:p w14:paraId="0AD3FD9A" w14:textId="77777777" w:rsidR="001E7776" w:rsidRPr="001E7776" w:rsidRDefault="001E7776" w:rsidP="001E7776">
            <w:pPr>
              <w:rPr>
                <w:rFonts w:cs="Arial"/>
                <w:lang w:eastAsia="en-GB"/>
              </w:rPr>
            </w:pPr>
          </w:p>
        </w:tc>
        <w:tc>
          <w:tcPr>
            <w:tcW w:w="961" w:type="pct"/>
            <w:shd w:val="clear" w:color="auto" w:fill="auto"/>
            <w:noWrap/>
          </w:tcPr>
          <w:p w14:paraId="01B4BDC3" w14:textId="77777777" w:rsidR="001E7776" w:rsidRPr="001E7776" w:rsidRDefault="001E7776" w:rsidP="001E7776">
            <w:pPr>
              <w:rPr>
                <w:rFonts w:cs="Arial"/>
                <w:lang w:eastAsia="en-GB"/>
              </w:rPr>
            </w:pPr>
            <w:r w:rsidRPr="001E7776">
              <w:rPr>
                <w:rFonts w:cs="Arial"/>
                <w:lang w:eastAsia="en-GB"/>
              </w:rPr>
              <w:t xml:space="preserve">Frequency </w:t>
            </w:r>
          </w:p>
        </w:tc>
        <w:tc>
          <w:tcPr>
            <w:tcW w:w="961" w:type="pct"/>
            <w:shd w:val="clear" w:color="auto" w:fill="auto"/>
            <w:noWrap/>
          </w:tcPr>
          <w:p w14:paraId="0DE099E4" w14:textId="77777777" w:rsidR="001E7776" w:rsidRPr="001E7776" w:rsidRDefault="001E7776" w:rsidP="001E7776">
            <w:pPr>
              <w:rPr>
                <w:rFonts w:cs="Arial"/>
                <w:lang w:eastAsia="en-GB"/>
              </w:rPr>
            </w:pPr>
            <w:r w:rsidRPr="001E7776">
              <w:rPr>
                <w:rFonts w:cs="Arial"/>
                <w:lang w:eastAsia="en-GB"/>
              </w:rPr>
              <w:t>%</w:t>
            </w:r>
          </w:p>
        </w:tc>
        <w:tc>
          <w:tcPr>
            <w:tcW w:w="961" w:type="pct"/>
            <w:shd w:val="clear" w:color="auto" w:fill="auto"/>
            <w:noWrap/>
          </w:tcPr>
          <w:p w14:paraId="7C7C6E35" w14:textId="77777777" w:rsidR="001E7776" w:rsidRPr="001E7776" w:rsidRDefault="001E7776" w:rsidP="001E7776">
            <w:pPr>
              <w:rPr>
                <w:rFonts w:cs="Arial"/>
                <w:lang w:eastAsia="en-GB"/>
              </w:rPr>
            </w:pPr>
            <w:r w:rsidRPr="001E7776">
              <w:rPr>
                <w:rFonts w:cs="Arial"/>
                <w:lang w:eastAsia="en-GB"/>
              </w:rPr>
              <w:t xml:space="preserve">Frequency </w:t>
            </w:r>
          </w:p>
        </w:tc>
        <w:tc>
          <w:tcPr>
            <w:tcW w:w="960" w:type="pct"/>
            <w:shd w:val="clear" w:color="auto" w:fill="auto"/>
            <w:noWrap/>
          </w:tcPr>
          <w:p w14:paraId="4C9CE8CE" w14:textId="77777777" w:rsidR="001E7776" w:rsidRPr="001E7776" w:rsidRDefault="001E7776" w:rsidP="001E7776">
            <w:pPr>
              <w:rPr>
                <w:rFonts w:cs="Arial"/>
                <w:lang w:eastAsia="en-GB"/>
              </w:rPr>
            </w:pPr>
            <w:r w:rsidRPr="001E7776">
              <w:rPr>
                <w:rFonts w:cs="Arial"/>
                <w:lang w:eastAsia="en-GB"/>
              </w:rPr>
              <w:t>%</w:t>
            </w:r>
          </w:p>
        </w:tc>
      </w:tr>
      <w:tr w:rsidR="00A61EB3" w:rsidRPr="001E7776" w14:paraId="47EB2DC6" w14:textId="77777777" w:rsidTr="001E7776">
        <w:trPr>
          <w:trHeight w:val="288"/>
        </w:trPr>
        <w:tc>
          <w:tcPr>
            <w:tcW w:w="1157" w:type="pct"/>
            <w:shd w:val="clear" w:color="auto" w:fill="auto"/>
            <w:noWrap/>
            <w:hideMark/>
          </w:tcPr>
          <w:p w14:paraId="0E28FAA5" w14:textId="77777777" w:rsidR="00A61EB3" w:rsidRPr="001E7776" w:rsidRDefault="00A61EB3" w:rsidP="00A61EB3">
            <w:pPr>
              <w:rPr>
                <w:rFonts w:cs="Arial"/>
                <w:lang w:eastAsia="en-GB"/>
              </w:rPr>
            </w:pPr>
            <w:r w:rsidRPr="001E7776">
              <w:rPr>
                <w:rFonts w:cs="Arial"/>
                <w:lang w:eastAsia="en-GB"/>
              </w:rPr>
              <w:t>1 Room</w:t>
            </w:r>
          </w:p>
        </w:tc>
        <w:tc>
          <w:tcPr>
            <w:tcW w:w="961" w:type="pct"/>
            <w:tcBorders>
              <w:top w:val="nil"/>
              <w:left w:val="nil"/>
              <w:bottom w:val="single" w:sz="4" w:space="0" w:color="auto"/>
              <w:right w:val="single" w:sz="4" w:space="0" w:color="auto"/>
            </w:tcBorders>
            <w:shd w:val="clear" w:color="auto" w:fill="auto"/>
            <w:noWrap/>
          </w:tcPr>
          <w:p w14:paraId="5524366D" w14:textId="00F9BC6C" w:rsidR="00A61EB3" w:rsidRPr="001E7776" w:rsidRDefault="00A61EB3" w:rsidP="00A61EB3">
            <w:pPr>
              <w:rPr>
                <w:rFonts w:cs="Arial"/>
                <w:color w:val="FF0000"/>
                <w:lang w:eastAsia="en-GB"/>
              </w:rPr>
            </w:pPr>
            <w:r w:rsidRPr="00983C82">
              <w:t>0</w:t>
            </w:r>
          </w:p>
        </w:tc>
        <w:tc>
          <w:tcPr>
            <w:tcW w:w="961" w:type="pct"/>
            <w:tcBorders>
              <w:top w:val="nil"/>
              <w:left w:val="single" w:sz="4" w:space="0" w:color="auto"/>
              <w:bottom w:val="single" w:sz="4" w:space="0" w:color="auto"/>
              <w:right w:val="single" w:sz="4" w:space="0" w:color="auto"/>
            </w:tcBorders>
            <w:shd w:val="clear" w:color="auto" w:fill="auto"/>
            <w:noWrap/>
            <w:hideMark/>
          </w:tcPr>
          <w:p w14:paraId="6948CD0F" w14:textId="257BD27A" w:rsidR="00A61EB3" w:rsidRPr="001E7776" w:rsidRDefault="00A61EB3" w:rsidP="00A61EB3">
            <w:pPr>
              <w:rPr>
                <w:rFonts w:cs="Arial"/>
                <w:color w:val="FF0000"/>
                <w:lang w:eastAsia="en-GB"/>
              </w:rPr>
            </w:pPr>
            <w:r w:rsidRPr="000B039F">
              <w:t>0.0%</w:t>
            </w:r>
          </w:p>
        </w:tc>
        <w:tc>
          <w:tcPr>
            <w:tcW w:w="961" w:type="pct"/>
            <w:tcBorders>
              <w:top w:val="nil"/>
              <w:left w:val="single" w:sz="4" w:space="0" w:color="auto"/>
              <w:bottom w:val="single" w:sz="4" w:space="0" w:color="auto"/>
              <w:right w:val="single" w:sz="4" w:space="0" w:color="auto"/>
            </w:tcBorders>
            <w:shd w:val="clear" w:color="auto" w:fill="auto"/>
            <w:noWrap/>
          </w:tcPr>
          <w:p w14:paraId="28EFB402" w14:textId="50FD9AED" w:rsidR="00A61EB3" w:rsidRPr="001E7776" w:rsidRDefault="00A61EB3" w:rsidP="00A61EB3">
            <w:pPr>
              <w:rPr>
                <w:rFonts w:cs="Arial"/>
                <w:color w:val="FF0000"/>
                <w:lang w:eastAsia="en-GB"/>
              </w:rPr>
            </w:pPr>
            <w:r w:rsidRPr="00B2281F">
              <w:t>61</w:t>
            </w:r>
          </w:p>
        </w:tc>
        <w:tc>
          <w:tcPr>
            <w:tcW w:w="960" w:type="pct"/>
            <w:tcBorders>
              <w:top w:val="nil"/>
              <w:left w:val="single" w:sz="4" w:space="0" w:color="auto"/>
              <w:bottom w:val="single" w:sz="4" w:space="0" w:color="auto"/>
              <w:right w:val="single" w:sz="4" w:space="0" w:color="auto"/>
            </w:tcBorders>
            <w:shd w:val="clear" w:color="auto" w:fill="auto"/>
            <w:noWrap/>
            <w:hideMark/>
          </w:tcPr>
          <w:p w14:paraId="0ED9785D" w14:textId="0B631579" w:rsidR="00A61EB3" w:rsidRPr="001E7776" w:rsidRDefault="00A61EB3" w:rsidP="00A61EB3">
            <w:pPr>
              <w:rPr>
                <w:rFonts w:cs="Arial"/>
                <w:color w:val="FF0000"/>
                <w:lang w:eastAsia="en-GB"/>
              </w:rPr>
            </w:pPr>
            <w:r w:rsidRPr="00CF2A43">
              <w:t>0.2%</w:t>
            </w:r>
          </w:p>
        </w:tc>
      </w:tr>
      <w:tr w:rsidR="00A61EB3" w:rsidRPr="001E7776" w14:paraId="752A25FC" w14:textId="77777777" w:rsidTr="001E7776">
        <w:trPr>
          <w:trHeight w:val="288"/>
        </w:trPr>
        <w:tc>
          <w:tcPr>
            <w:tcW w:w="1157" w:type="pct"/>
            <w:shd w:val="clear" w:color="auto" w:fill="auto"/>
            <w:noWrap/>
            <w:hideMark/>
          </w:tcPr>
          <w:p w14:paraId="2447E24B" w14:textId="77777777" w:rsidR="00A61EB3" w:rsidRPr="001E7776" w:rsidRDefault="00A61EB3" w:rsidP="00A61EB3">
            <w:pPr>
              <w:rPr>
                <w:rFonts w:cs="Arial"/>
                <w:lang w:eastAsia="en-GB"/>
              </w:rPr>
            </w:pPr>
            <w:r w:rsidRPr="001E7776">
              <w:rPr>
                <w:rFonts w:cs="Arial"/>
                <w:lang w:eastAsia="en-GB"/>
              </w:rPr>
              <w:t>2 Rooms</w:t>
            </w:r>
          </w:p>
        </w:tc>
        <w:tc>
          <w:tcPr>
            <w:tcW w:w="961" w:type="pct"/>
            <w:tcBorders>
              <w:top w:val="single" w:sz="4" w:space="0" w:color="auto"/>
              <w:left w:val="nil"/>
              <w:bottom w:val="single" w:sz="4" w:space="0" w:color="auto"/>
              <w:right w:val="single" w:sz="4" w:space="0" w:color="auto"/>
            </w:tcBorders>
            <w:shd w:val="clear" w:color="auto" w:fill="auto"/>
            <w:noWrap/>
          </w:tcPr>
          <w:p w14:paraId="74C11728" w14:textId="2837D517" w:rsidR="00A61EB3" w:rsidRPr="001E7776" w:rsidRDefault="00A61EB3" w:rsidP="00A61EB3">
            <w:pPr>
              <w:rPr>
                <w:rFonts w:cs="Arial"/>
                <w:color w:val="FF0000"/>
                <w:lang w:eastAsia="en-GB"/>
              </w:rPr>
            </w:pPr>
            <w:r w:rsidRPr="00983C82">
              <w:t>3</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2EA2576A" w14:textId="191DC4AD" w:rsidR="00A61EB3" w:rsidRPr="001E7776" w:rsidRDefault="00A61EB3" w:rsidP="00A61EB3">
            <w:pPr>
              <w:rPr>
                <w:rFonts w:cs="Arial"/>
                <w:color w:val="FF0000"/>
                <w:lang w:eastAsia="en-GB"/>
              </w:rPr>
            </w:pPr>
            <w:r w:rsidRPr="000B039F">
              <w:t>0.7%</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250036FB" w14:textId="63436621" w:rsidR="00A61EB3" w:rsidRPr="001E7776" w:rsidRDefault="00A61EB3" w:rsidP="00A61EB3">
            <w:pPr>
              <w:rPr>
                <w:rFonts w:cs="Arial"/>
                <w:color w:val="FF0000"/>
                <w:lang w:eastAsia="en-GB"/>
              </w:rPr>
            </w:pPr>
            <w:r w:rsidRPr="00B2281F">
              <w:t>480</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1449FAE0" w14:textId="4C2FA701" w:rsidR="00A61EB3" w:rsidRPr="001E7776" w:rsidRDefault="00A61EB3" w:rsidP="00A61EB3">
            <w:pPr>
              <w:rPr>
                <w:rFonts w:cs="Arial"/>
                <w:color w:val="FF0000"/>
                <w:lang w:eastAsia="en-GB"/>
              </w:rPr>
            </w:pPr>
            <w:r w:rsidRPr="00CF2A43">
              <w:t>1.3%</w:t>
            </w:r>
          </w:p>
        </w:tc>
      </w:tr>
      <w:tr w:rsidR="00A61EB3" w:rsidRPr="001E7776" w14:paraId="086E52F1" w14:textId="77777777" w:rsidTr="001E7776">
        <w:trPr>
          <w:trHeight w:val="288"/>
        </w:trPr>
        <w:tc>
          <w:tcPr>
            <w:tcW w:w="1157" w:type="pct"/>
            <w:shd w:val="clear" w:color="auto" w:fill="auto"/>
            <w:noWrap/>
            <w:hideMark/>
          </w:tcPr>
          <w:p w14:paraId="6D0020BE" w14:textId="77777777" w:rsidR="00A61EB3" w:rsidRPr="001E7776" w:rsidRDefault="00A61EB3" w:rsidP="00A61EB3">
            <w:pPr>
              <w:rPr>
                <w:rFonts w:cs="Arial"/>
                <w:lang w:eastAsia="en-GB"/>
              </w:rPr>
            </w:pPr>
            <w:r w:rsidRPr="001E7776">
              <w:rPr>
                <w:rFonts w:cs="Arial"/>
                <w:lang w:eastAsia="en-GB"/>
              </w:rPr>
              <w:t>3 Rooms</w:t>
            </w:r>
          </w:p>
        </w:tc>
        <w:tc>
          <w:tcPr>
            <w:tcW w:w="961" w:type="pct"/>
            <w:tcBorders>
              <w:top w:val="single" w:sz="4" w:space="0" w:color="auto"/>
              <w:left w:val="nil"/>
              <w:bottom w:val="single" w:sz="4" w:space="0" w:color="auto"/>
              <w:right w:val="single" w:sz="4" w:space="0" w:color="auto"/>
            </w:tcBorders>
            <w:shd w:val="clear" w:color="auto" w:fill="auto"/>
            <w:noWrap/>
          </w:tcPr>
          <w:p w14:paraId="38F4FDF4" w14:textId="110D6809" w:rsidR="00A61EB3" w:rsidRPr="001E7776" w:rsidRDefault="00A61EB3" w:rsidP="00A61EB3">
            <w:pPr>
              <w:rPr>
                <w:rFonts w:cs="Arial"/>
                <w:color w:val="FF0000"/>
                <w:lang w:eastAsia="en-GB"/>
              </w:rPr>
            </w:pPr>
            <w:r w:rsidRPr="00983C82">
              <w:t>15</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29BF46E5" w14:textId="221C8404" w:rsidR="00A61EB3" w:rsidRPr="001E7776" w:rsidRDefault="00A61EB3" w:rsidP="00A61EB3">
            <w:pPr>
              <w:rPr>
                <w:rFonts w:cs="Arial"/>
                <w:color w:val="FF0000"/>
                <w:lang w:eastAsia="en-GB"/>
              </w:rPr>
            </w:pPr>
            <w:r w:rsidRPr="000B039F">
              <w:t>3.3%</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2A0F7D15" w14:textId="6667ED5A" w:rsidR="00A61EB3" w:rsidRPr="001E7776" w:rsidRDefault="00A61EB3" w:rsidP="00A61EB3">
            <w:pPr>
              <w:rPr>
                <w:rFonts w:cs="Arial"/>
                <w:color w:val="FF0000"/>
                <w:lang w:eastAsia="en-GB"/>
              </w:rPr>
            </w:pPr>
            <w:r w:rsidRPr="00B2281F">
              <w:t>2002</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2F3E69D1" w14:textId="74B3C4DF" w:rsidR="00A61EB3" w:rsidRPr="001E7776" w:rsidRDefault="00A61EB3" w:rsidP="00A61EB3">
            <w:pPr>
              <w:rPr>
                <w:rFonts w:cs="Arial"/>
                <w:color w:val="FF0000"/>
                <w:lang w:eastAsia="en-GB"/>
              </w:rPr>
            </w:pPr>
            <w:r w:rsidRPr="00CF2A43">
              <w:t>5.3%</w:t>
            </w:r>
          </w:p>
        </w:tc>
      </w:tr>
      <w:tr w:rsidR="00A61EB3" w:rsidRPr="001E7776" w14:paraId="25AC59C2" w14:textId="77777777" w:rsidTr="001E7776">
        <w:trPr>
          <w:trHeight w:val="288"/>
        </w:trPr>
        <w:tc>
          <w:tcPr>
            <w:tcW w:w="1157" w:type="pct"/>
            <w:shd w:val="clear" w:color="auto" w:fill="auto"/>
            <w:noWrap/>
            <w:hideMark/>
          </w:tcPr>
          <w:p w14:paraId="0B709D21" w14:textId="77777777" w:rsidR="00A61EB3" w:rsidRPr="001E7776" w:rsidRDefault="00A61EB3" w:rsidP="00A61EB3">
            <w:pPr>
              <w:rPr>
                <w:rFonts w:cs="Arial"/>
                <w:lang w:eastAsia="en-GB"/>
              </w:rPr>
            </w:pPr>
            <w:r w:rsidRPr="001E7776">
              <w:rPr>
                <w:rFonts w:cs="Arial"/>
                <w:lang w:eastAsia="en-GB"/>
              </w:rPr>
              <w:t>4 Rooms</w:t>
            </w:r>
          </w:p>
        </w:tc>
        <w:tc>
          <w:tcPr>
            <w:tcW w:w="961" w:type="pct"/>
            <w:tcBorders>
              <w:top w:val="single" w:sz="4" w:space="0" w:color="auto"/>
              <w:left w:val="nil"/>
              <w:bottom w:val="single" w:sz="4" w:space="0" w:color="auto"/>
              <w:right w:val="single" w:sz="4" w:space="0" w:color="auto"/>
            </w:tcBorders>
            <w:shd w:val="clear" w:color="auto" w:fill="auto"/>
            <w:noWrap/>
          </w:tcPr>
          <w:p w14:paraId="7A48A997" w14:textId="66FCE940" w:rsidR="00A61EB3" w:rsidRPr="001E7776" w:rsidRDefault="00A61EB3" w:rsidP="00A61EB3">
            <w:pPr>
              <w:rPr>
                <w:rFonts w:cs="Arial"/>
                <w:color w:val="FF0000"/>
                <w:lang w:eastAsia="en-GB"/>
              </w:rPr>
            </w:pPr>
            <w:r w:rsidRPr="00983C82">
              <w:t>69</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509F054F" w14:textId="3CED9C0F" w:rsidR="00A61EB3" w:rsidRPr="001E7776" w:rsidRDefault="00A61EB3" w:rsidP="00A61EB3">
            <w:pPr>
              <w:rPr>
                <w:rFonts w:cs="Arial"/>
                <w:color w:val="FF0000"/>
                <w:lang w:eastAsia="en-GB"/>
              </w:rPr>
            </w:pPr>
            <w:r w:rsidRPr="000B039F">
              <w:t>15.3%</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7F9B807C" w14:textId="523F1E79" w:rsidR="00A61EB3" w:rsidRPr="001E7776" w:rsidRDefault="00A61EB3" w:rsidP="00A61EB3">
            <w:pPr>
              <w:rPr>
                <w:rFonts w:cs="Arial"/>
                <w:color w:val="FF0000"/>
                <w:lang w:eastAsia="en-GB"/>
              </w:rPr>
            </w:pPr>
            <w:r w:rsidRPr="00B2281F">
              <w:t>5950</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0B9D1E9E" w14:textId="7214A517" w:rsidR="00A61EB3" w:rsidRPr="001E7776" w:rsidRDefault="00A61EB3" w:rsidP="00A61EB3">
            <w:pPr>
              <w:rPr>
                <w:rFonts w:cs="Arial"/>
                <w:color w:val="FF0000"/>
                <w:lang w:eastAsia="en-GB"/>
              </w:rPr>
            </w:pPr>
            <w:r w:rsidRPr="00CF2A43">
              <w:t>15.9%</w:t>
            </w:r>
          </w:p>
        </w:tc>
      </w:tr>
      <w:tr w:rsidR="00A61EB3" w:rsidRPr="001E7776" w14:paraId="4E091B0B" w14:textId="77777777" w:rsidTr="001E7776">
        <w:trPr>
          <w:trHeight w:val="288"/>
        </w:trPr>
        <w:tc>
          <w:tcPr>
            <w:tcW w:w="1157" w:type="pct"/>
            <w:shd w:val="clear" w:color="auto" w:fill="auto"/>
            <w:noWrap/>
            <w:hideMark/>
          </w:tcPr>
          <w:p w14:paraId="5FFC3075" w14:textId="77777777" w:rsidR="00A61EB3" w:rsidRPr="001E7776" w:rsidRDefault="00A61EB3" w:rsidP="00A61EB3">
            <w:pPr>
              <w:rPr>
                <w:rFonts w:cs="Arial"/>
                <w:lang w:eastAsia="en-GB"/>
              </w:rPr>
            </w:pPr>
            <w:r w:rsidRPr="001E7776">
              <w:rPr>
                <w:rFonts w:cs="Arial"/>
                <w:lang w:eastAsia="en-GB"/>
              </w:rPr>
              <w:t>5 Rooms</w:t>
            </w:r>
          </w:p>
        </w:tc>
        <w:tc>
          <w:tcPr>
            <w:tcW w:w="961" w:type="pct"/>
            <w:tcBorders>
              <w:top w:val="single" w:sz="4" w:space="0" w:color="auto"/>
              <w:left w:val="nil"/>
              <w:bottom w:val="single" w:sz="4" w:space="0" w:color="auto"/>
              <w:right w:val="single" w:sz="4" w:space="0" w:color="auto"/>
            </w:tcBorders>
            <w:shd w:val="clear" w:color="auto" w:fill="auto"/>
            <w:noWrap/>
          </w:tcPr>
          <w:p w14:paraId="68DBCF32" w14:textId="372FCD01" w:rsidR="00A61EB3" w:rsidRPr="001E7776" w:rsidRDefault="00A61EB3" w:rsidP="00A61EB3">
            <w:pPr>
              <w:rPr>
                <w:rFonts w:cs="Arial"/>
                <w:color w:val="FF0000"/>
                <w:lang w:eastAsia="en-GB"/>
              </w:rPr>
            </w:pPr>
            <w:r w:rsidRPr="00983C82">
              <w:t>108</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53A89112" w14:textId="56052289" w:rsidR="00A61EB3" w:rsidRPr="001E7776" w:rsidRDefault="00A61EB3" w:rsidP="00A61EB3">
            <w:pPr>
              <w:rPr>
                <w:rFonts w:cs="Arial"/>
                <w:color w:val="FF0000"/>
                <w:lang w:eastAsia="en-GB"/>
              </w:rPr>
            </w:pPr>
            <w:r w:rsidRPr="000B039F">
              <w:t>23.9%</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04D24C90" w14:textId="1F9C472D" w:rsidR="00A61EB3" w:rsidRPr="001E7776" w:rsidRDefault="00A61EB3" w:rsidP="00A61EB3">
            <w:pPr>
              <w:rPr>
                <w:rFonts w:cs="Arial"/>
                <w:color w:val="FF0000"/>
                <w:lang w:eastAsia="en-GB"/>
              </w:rPr>
            </w:pPr>
            <w:r w:rsidRPr="00B2281F">
              <w:t>9192</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12CFEECE" w14:textId="48BE3CC6" w:rsidR="00A61EB3" w:rsidRPr="001E7776" w:rsidRDefault="00A61EB3" w:rsidP="00A61EB3">
            <w:pPr>
              <w:rPr>
                <w:rFonts w:cs="Arial"/>
                <w:color w:val="FF0000"/>
                <w:lang w:eastAsia="en-GB"/>
              </w:rPr>
            </w:pPr>
            <w:r w:rsidRPr="00CF2A43">
              <w:t>24.5%</w:t>
            </w:r>
          </w:p>
        </w:tc>
      </w:tr>
      <w:tr w:rsidR="00A61EB3" w:rsidRPr="001E7776" w14:paraId="65497EAC" w14:textId="77777777" w:rsidTr="001E7776">
        <w:trPr>
          <w:trHeight w:val="288"/>
        </w:trPr>
        <w:tc>
          <w:tcPr>
            <w:tcW w:w="1157" w:type="pct"/>
            <w:shd w:val="clear" w:color="auto" w:fill="auto"/>
            <w:noWrap/>
            <w:hideMark/>
          </w:tcPr>
          <w:p w14:paraId="4E5F5667" w14:textId="77777777" w:rsidR="00A61EB3" w:rsidRPr="001E7776" w:rsidRDefault="00A61EB3" w:rsidP="00A61EB3">
            <w:pPr>
              <w:rPr>
                <w:rFonts w:cs="Arial"/>
                <w:lang w:eastAsia="en-GB"/>
              </w:rPr>
            </w:pPr>
            <w:r w:rsidRPr="001E7776">
              <w:rPr>
                <w:rFonts w:cs="Arial"/>
                <w:lang w:eastAsia="en-GB"/>
              </w:rPr>
              <w:t>6 Rooms</w:t>
            </w:r>
          </w:p>
        </w:tc>
        <w:tc>
          <w:tcPr>
            <w:tcW w:w="961" w:type="pct"/>
            <w:tcBorders>
              <w:top w:val="single" w:sz="4" w:space="0" w:color="auto"/>
              <w:left w:val="nil"/>
              <w:bottom w:val="single" w:sz="4" w:space="0" w:color="auto"/>
              <w:right w:val="single" w:sz="4" w:space="0" w:color="auto"/>
            </w:tcBorders>
            <w:shd w:val="clear" w:color="auto" w:fill="auto"/>
            <w:noWrap/>
          </w:tcPr>
          <w:p w14:paraId="3A828C5A" w14:textId="6E5E152E" w:rsidR="00A61EB3" w:rsidRPr="001E7776" w:rsidRDefault="00A61EB3" w:rsidP="00A61EB3">
            <w:pPr>
              <w:rPr>
                <w:rFonts w:cs="Arial"/>
                <w:color w:val="FF0000"/>
                <w:lang w:eastAsia="en-GB"/>
              </w:rPr>
            </w:pPr>
            <w:r w:rsidRPr="00983C82">
              <w:t>77</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3D4F37DB" w14:textId="1C08C125" w:rsidR="00A61EB3" w:rsidRPr="001E7776" w:rsidRDefault="00A61EB3" w:rsidP="00A61EB3">
            <w:pPr>
              <w:rPr>
                <w:rFonts w:cs="Arial"/>
                <w:color w:val="FF0000"/>
                <w:lang w:eastAsia="en-GB"/>
              </w:rPr>
            </w:pPr>
            <w:r w:rsidRPr="000B039F">
              <w:t>17.0%</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231E9A43" w14:textId="03430CBC" w:rsidR="00A61EB3" w:rsidRPr="001E7776" w:rsidRDefault="00A61EB3" w:rsidP="00A61EB3">
            <w:pPr>
              <w:rPr>
                <w:rFonts w:cs="Arial"/>
                <w:color w:val="FF0000"/>
                <w:lang w:eastAsia="en-GB"/>
              </w:rPr>
            </w:pPr>
            <w:r w:rsidRPr="00B2281F">
              <w:t>7302</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6810BDAD" w14:textId="1B297994" w:rsidR="00A61EB3" w:rsidRPr="001E7776" w:rsidRDefault="00A61EB3" w:rsidP="00A61EB3">
            <w:pPr>
              <w:rPr>
                <w:rFonts w:cs="Arial"/>
                <w:color w:val="FF0000"/>
                <w:lang w:eastAsia="en-GB"/>
              </w:rPr>
            </w:pPr>
            <w:r w:rsidRPr="00CF2A43">
              <w:t>19.5%</w:t>
            </w:r>
          </w:p>
        </w:tc>
      </w:tr>
      <w:tr w:rsidR="00A61EB3" w:rsidRPr="001E7776" w14:paraId="29640F54" w14:textId="77777777" w:rsidTr="001E7776">
        <w:trPr>
          <w:trHeight w:val="288"/>
        </w:trPr>
        <w:tc>
          <w:tcPr>
            <w:tcW w:w="1157" w:type="pct"/>
            <w:shd w:val="clear" w:color="auto" w:fill="auto"/>
            <w:noWrap/>
            <w:hideMark/>
          </w:tcPr>
          <w:p w14:paraId="4F8D6ABE" w14:textId="77777777" w:rsidR="00A61EB3" w:rsidRPr="001E7776" w:rsidRDefault="00A61EB3" w:rsidP="00A61EB3">
            <w:pPr>
              <w:rPr>
                <w:rFonts w:cs="Arial"/>
                <w:lang w:eastAsia="en-GB"/>
              </w:rPr>
            </w:pPr>
            <w:r w:rsidRPr="001E7776">
              <w:rPr>
                <w:rFonts w:cs="Arial"/>
                <w:lang w:eastAsia="en-GB"/>
              </w:rPr>
              <w:t>7 Rooms</w:t>
            </w:r>
          </w:p>
        </w:tc>
        <w:tc>
          <w:tcPr>
            <w:tcW w:w="961" w:type="pct"/>
            <w:tcBorders>
              <w:top w:val="single" w:sz="4" w:space="0" w:color="auto"/>
              <w:left w:val="nil"/>
              <w:bottom w:val="single" w:sz="4" w:space="0" w:color="auto"/>
              <w:right w:val="single" w:sz="4" w:space="0" w:color="auto"/>
            </w:tcBorders>
            <w:shd w:val="clear" w:color="auto" w:fill="auto"/>
            <w:noWrap/>
          </w:tcPr>
          <w:p w14:paraId="7F44E831" w14:textId="2D9B7404" w:rsidR="00A61EB3" w:rsidRPr="001E7776" w:rsidRDefault="00A61EB3" w:rsidP="00A61EB3">
            <w:pPr>
              <w:rPr>
                <w:rFonts w:cs="Arial"/>
                <w:color w:val="FF0000"/>
                <w:lang w:eastAsia="en-GB"/>
              </w:rPr>
            </w:pPr>
            <w:r w:rsidRPr="00983C82">
              <w:t>74</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118C9298" w14:textId="1EB4744B" w:rsidR="00A61EB3" w:rsidRPr="001E7776" w:rsidRDefault="00A61EB3" w:rsidP="00A61EB3">
            <w:pPr>
              <w:rPr>
                <w:rFonts w:cs="Arial"/>
                <w:color w:val="FF0000"/>
                <w:lang w:eastAsia="en-GB"/>
              </w:rPr>
            </w:pPr>
            <w:r w:rsidRPr="000B039F">
              <w:t>16.4%</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58E08F2F" w14:textId="103E8E58" w:rsidR="00A61EB3" w:rsidRPr="001E7776" w:rsidRDefault="00A61EB3" w:rsidP="00A61EB3">
            <w:pPr>
              <w:rPr>
                <w:rFonts w:cs="Arial"/>
                <w:color w:val="FF0000"/>
                <w:lang w:eastAsia="en-GB"/>
              </w:rPr>
            </w:pPr>
            <w:r w:rsidRPr="00B2281F">
              <w:t>4724</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39E1E03B" w14:textId="61260AFD" w:rsidR="00A61EB3" w:rsidRPr="001E7776" w:rsidRDefault="00A61EB3" w:rsidP="00A61EB3">
            <w:pPr>
              <w:rPr>
                <w:rFonts w:cs="Arial"/>
                <w:color w:val="FF0000"/>
                <w:lang w:eastAsia="en-GB"/>
              </w:rPr>
            </w:pPr>
            <w:r w:rsidRPr="00CF2A43">
              <w:t>12.6%</w:t>
            </w:r>
          </w:p>
        </w:tc>
      </w:tr>
      <w:tr w:rsidR="00A61EB3" w:rsidRPr="001E7776" w14:paraId="49306FBB" w14:textId="77777777" w:rsidTr="001E7776">
        <w:trPr>
          <w:trHeight w:val="288"/>
        </w:trPr>
        <w:tc>
          <w:tcPr>
            <w:tcW w:w="1157" w:type="pct"/>
            <w:shd w:val="clear" w:color="auto" w:fill="auto"/>
            <w:noWrap/>
            <w:hideMark/>
          </w:tcPr>
          <w:p w14:paraId="7EACBF76" w14:textId="77777777" w:rsidR="00A61EB3" w:rsidRPr="001E7776" w:rsidRDefault="00A61EB3" w:rsidP="00A61EB3">
            <w:pPr>
              <w:rPr>
                <w:rFonts w:cs="Arial"/>
                <w:lang w:eastAsia="en-GB"/>
              </w:rPr>
            </w:pPr>
            <w:r w:rsidRPr="001E7776">
              <w:rPr>
                <w:rFonts w:cs="Arial"/>
                <w:lang w:eastAsia="en-GB"/>
              </w:rPr>
              <w:t>8 Rooms or more</w:t>
            </w:r>
          </w:p>
        </w:tc>
        <w:tc>
          <w:tcPr>
            <w:tcW w:w="961" w:type="pct"/>
            <w:tcBorders>
              <w:top w:val="single" w:sz="4" w:space="0" w:color="auto"/>
              <w:left w:val="nil"/>
              <w:bottom w:val="single" w:sz="4" w:space="0" w:color="auto"/>
              <w:right w:val="single" w:sz="4" w:space="0" w:color="auto"/>
            </w:tcBorders>
            <w:shd w:val="clear" w:color="auto" w:fill="auto"/>
            <w:noWrap/>
          </w:tcPr>
          <w:p w14:paraId="443A09AD" w14:textId="0A3572A9" w:rsidR="00A61EB3" w:rsidRPr="001E7776" w:rsidRDefault="00A61EB3" w:rsidP="00A61EB3">
            <w:pPr>
              <w:rPr>
                <w:rFonts w:cs="Arial"/>
                <w:color w:val="FF0000"/>
                <w:lang w:eastAsia="en-GB"/>
              </w:rPr>
            </w:pPr>
            <w:r w:rsidRPr="00983C82">
              <w:t>49</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01921CC6" w14:textId="66D2B511" w:rsidR="00A61EB3" w:rsidRPr="001E7776" w:rsidRDefault="00A61EB3" w:rsidP="00A61EB3">
            <w:pPr>
              <w:rPr>
                <w:rFonts w:cs="Arial"/>
                <w:color w:val="FF0000"/>
                <w:lang w:eastAsia="en-GB"/>
              </w:rPr>
            </w:pPr>
            <w:r w:rsidRPr="000B039F">
              <w:t>10.8%</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5D66931F" w14:textId="2FC2DE37" w:rsidR="00A61EB3" w:rsidRPr="001E7776" w:rsidRDefault="00A61EB3" w:rsidP="00A61EB3">
            <w:pPr>
              <w:rPr>
                <w:rFonts w:cs="Arial"/>
                <w:color w:val="FF0000"/>
                <w:lang w:eastAsia="en-GB"/>
              </w:rPr>
            </w:pPr>
            <w:r w:rsidRPr="00B2281F">
              <w:t>3596</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4326F922" w14:textId="5C4734D2" w:rsidR="00A61EB3" w:rsidRPr="001E7776" w:rsidRDefault="00A61EB3" w:rsidP="00A61EB3">
            <w:pPr>
              <w:rPr>
                <w:rFonts w:cs="Arial"/>
                <w:color w:val="FF0000"/>
                <w:lang w:eastAsia="en-GB"/>
              </w:rPr>
            </w:pPr>
            <w:r w:rsidRPr="00CF2A43">
              <w:t>9.6%</w:t>
            </w:r>
          </w:p>
        </w:tc>
      </w:tr>
      <w:tr w:rsidR="00A61EB3" w:rsidRPr="001E7776" w14:paraId="1D177DA4" w14:textId="77777777" w:rsidTr="001E7776">
        <w:trPr>
          <w:trHeight w:val="288"/>
        </w:trPr>
        <w:tc>
          <w:tcPr>
            <w:tcW w:w="1157" w:type="pct"/>
            <w:shd w:val="clear" w:color="auto" w:fill="auto"/>
            <w:noWrap/>
            <w:hideMark/>
          </w:tcPr>
          <w:p w14:paraId="623B45BA" w14:textId="77777777" w:rsidR="00A61EB3" w:rsidRPr="001E7776" w:rsidRDefault="00A61EB3" w:rsidP="00A61EB3">
            <w:pPr>
              <w:rPr>
                <w:rFonts w:cs="Arial"/>
                <w:lang w:eastAsia="en-GB"/>
              </w:rPr>
            </w:pPr>
            <w:r w:rsidRPr="001E7776">
              <w:rPr>
                <w:rFonts w:cs="Arial"/>
                <w:lang w:eastAsia="en-GB"/>
              </w:rPr>
              <w:t>9 Rooms or more</w:t>
            </w:r>
          </w:p>
        </w:tc>
        <w:tc>
          <w:tcPr>
            <w:tcW w:w="961" w:type="pct"/>
            <w:tcBorders>
              <w:top w:val="single" w:sz="4" w:space="0" w:color="auto"/>
              <w:left w:val="nil"/>
              <w:bottom w:val="single" w:sz="4" w:space="0" w:color="auto"/>
              <w:right w:val="single" w:sz="4" w:space="0" w:color="auto"/>
            </w:tcBorders>
            <w:shd w:val="clear" w:color="auto" w:fill="auto"/>
            <w:noWrap/>
          </w:tcPr>
          <w:p w14:paraId="16EEE6E3" w14:textId="23031832" w:rsidR="00A61EB3" w:rsidRPr="001E7776" w:rsidRDefault="00A61EB3" w:rsidP="00A61EB3">
            <w:pPr>
              <w:rPr>
                <w:rFonts w:cs="Arial"/>
                <w:color w:val="FF0000"/>
                <w:lang w:eastAsia="en-GB"/>
              </w:rPr>
            </w:pPr>
            <w:r w:rsidRPr="00983C82">
              <w:t>57</w:t>
            </w:r>
          </w:p>
        </w:tc>
        <w:tc>
          <w:tcPr>
            <w:tcW w:w="961" w:type="pct"/>
            <w:tcBorders>
              <w:top w:val="single" w:sz="4" w:space="0" w:color="auto"/>
              <w:left w:val="single" w:sz="4" w:space="0" w:color="auto"/>
              <w:bottom w:val="single" w:sz="4" w:space="0" w:color="auto"/>
              <w:right w:val="single" w:sz="4" w:space="0" w:color="auto"/>
            </w:tcBorders>
            <w:shd w:val="clear" w:color="auto" w:fill="auto"/>
            <w:noWrap/>
            <w:hideMark/>
          </w:tcPr>
          <w:p w14:paraId="661C3EAC" w14:textId="146F35DA" w:rsidR="00A61EB3" w:rsidRPr="001E7776" w:rsidRDefault="00A61EB3" w:rsidP="00A61EB3">
            <w:pPr>
              <w:rPr>
                <w:rFonts w:cs="Arial"/>
                <w:color w:val="FF0000"/>
                <w:lang w:eastAsia="en-GB"/>
              </w:rPr>
            </w:pPr>
            <w:r w:rsidRPr="000B039F">
              <w:t>12.6%</w:t>
            </w:r>
          </w:p>
        </w:tc>
        <w:tc>
          <w:tcPr>
            <w:tcW w:w="961" w:type="pct"/>
            <w:tcBorders>
              <w:top w:val="single" w:sz="4" w:space="0" w:color="auto"/>
              <w:left w:val="single" w:sz="4" w:space="0" w:color="auto"/>
              <w:bottom w:val="single" w:sz="4" w:space="0" w:color="auto"/>
              <w:right w:val="single" w:sz="4" w:space="0" w:color="auto"/>
            </w:tcBorders>
            <w:shd w:val="clear" w:color="auto" w:fill="auto"/>
            <w:noWrap/>
          </w:tcPr>
          <w:p w14:paraId="649D2CC4" w14:textId="0E6609AB" w:rsidR="00A61EB3" w:rsidRPr="001E7776" w:rsidRDefault="00A61EB3" w:rsidP="00A61EB3">
            <w:pPr>
              <w:rPr>
                <w:rFonts w:cs="Arial"/>
                <w:color w:val="FF0000"/>
                <w:lang w:eastAsia="en-GB"/>
              </w:rPr>
            </w:pPr>
            <w:r w:rsidRPr="00B2281F">
              <w:t>4215</w:t>
            </w:r>
          </w:p>
        </w:tc>
        <w:tc>
          <w:tcPr>
            <w:tcW w:w="960" w:type="pct"/>
            <w:tcBorders>
              <w:top w:val="single" w:sz="4" w:space="0" w:color="auto"/>
              <w:left w:val="single" w:sz="4" w:space="0" w:color="auto"/>
              <w:bottom w:val="single" w:sz="4" w:space="0" w:color="auto"/>
              <w:right w:val="single" w:sz="4" w:space="0" w:color="auto"/>
            </w:tcBorders>
            <w:shd w:val="clear" w:color="auto" w:fill="auto"/>
            <w:noWrap/>
            <w:hideMark/>
          </w:tcPr>
          <w:p w14:paraId="7CCB44B3" w14:textId="605E3941" w:rsidR="00A61EB3" w:rsidRPr="001E7776" w:rsidRDefault="00A61EB3" w:rsidP="00A61EB3">
            <w:pPr>
              <w:rPr>
                <w:rFonts w:cs="Arial"/>
                <w:color w:val="FF0000"/>
                <w:lang w:eastAsia="en-GB"/>
              </w:rPr>
            </w:pPr>
            <w:r w:rsidRPr="00CF2A43">
              <w:t>11.2%</w:t>
            </w:r>
          </w:p>
        </w:tc>
      </w:tr>
    </w:tbl>
    <w:p w14:paraId="293BC4BC" w14:textId="77777777" w:rsidR="001E7776" w:rsidRPr="001E7776" w:rsidRDefault="001E7776" w:rsidP="006E5E1E">
      <w:pPr>
        <w:pStyle w:val="Source"/>
      </w:pPr>
      <w:r w:rsidRPr="001E7776">
        <w:rPr>
          <w:webHidden/>
        </w:rPr>
        <w:t>Source: ONS 2011, AECOM Calculations</w:t>
      </w:r>
    </w:p>
    <w:p w14:paraId="74F73710" w14:textId="32587120" w:rsidR="001E7776" w:rsidRDefault="001E7776" w:rsidP="00D56987">
      <w:pPr>
        <w:pStyle w:val="ListNumber"/>
        <w:jc w:val="both"/>
      </w:pPr>
      <w:r w:rsidRPr="00A3702E">
        <w:t xml:space="preserve">It is also useful to cross-reference this data with Census estimates of the number of bedrooms for each household in </w:t>
      </w:r>
      <w:r w:rsidR="00A61EB3" w:rsidRPr="00A3702E">
        <w:t>Copdock and Washbrook</w:t>
      </w:r>
      <w:r w:rsidRPr="00A3702E">
        <w:t xml:space="preserve"> </w:t>
      </w:r>
      <w:r w:rsidR="00B15076">
        <w:t xml:space="preserve">versus </w:t>
      </w:r>
      <w:r w:rsidR="00A61EB3" w:rsidRPr="00A3702E">
        <w:t>Babergh</w:t>
      </w:r>
      <w:r w:rsidRPr="00A3702E">
        <w:t xml:space="preserve">. </w:t>
      </w:r>
      <w:r w:rsidRPr="00A3702E">
        <w:fldChar w:fldCharType="begin"/>
      </w:r>
      <w:r w:rsidRPr="00A3702E">
        <w:instrText xml:space="preserve"> REF _Ref523824198 \h  \* MERGEFORMAT </w:instrText>
      </w:r>
      <w:r w:rsidRPr="00A3702E">
        <w:fldChar w:fldCharType="separate"/>
      </w:r>
      <w:r w:rsidR="004F6699" w:rsidRPr="004F6699">
        <w:t>Table 5</w:t>
      </w:r>
      <w:r w:rsidR="004F6699" w:rsidRPr="004F6699">
        <w:noBreakHyphen/>
        <w:t>5</w:t>
      </w:r>
      <w:r w:rsidRPr="00A3702E">
        <w:fldChar w:fldCharType="end"/>
      </w:r>
      <w:r w:rsidRPr="00A3702E">
        <w:t xml:space="preserve"> below summarises the proportion of households </w:t>
      </w:r>
      <w:r w:rsidRPr="002057A2">
        <w:t xml:space="preserve">occupying each size of home in terms of the number of bedrooms. The data shows that the distribution of bedrooms </w:t>
      </w:r>
      <w:r w:rsidR="00B15076">
        <w:t xml:space="preserve">per household </w:t>
      </w:r>
      <w:r w:rsidRPr="002057A2">
        <w:t xml:space="preserve">in </w:t>
      </w:r>
      <w:r w:rsidR="00A61EB3" w:rsidRPr="002057A2">
        <w:lastRenderedPageBreak/>
        <w:t>Copdock and Washbrook</w:t>
      </w:r>
      <w:r w:rsidRPr="002057A2">
        <w:t xml:space="preserve"> is similar to that of </w:t>
      </w:r>
      <w:r w:rsidR="00A61EB3" w:rsidRPr="002057A2">
        <w:t>Babergh</w:t>
      </w:r>
      <w:r w:rsidR="00A3702E" w:rsidRPr="002057A2">
        <w:t xml:space="preserve">, with the majority of homes possessing </w:t>
      </w:r>
      <w:r w:rsidR="00B15076">
        <w:t>between two and four</w:t>
      </w:r>
      <w:r w:rsidR="002057A2" w:rsidRPr="002057A2">
        <w:t xml:space="preserve"> bedrooms. </w:t>
      </w:r>
      <w:r w:rsidR="00B15076">
        <w:t>In general, number of bedrooms per dwelling is slightly higher in the Parish than across Babergh as a whole.</w:t>
      </w:r>
    </w:p>
    <w:p w14:paraId="4B0847B0" w14:textId="764C32B6" w:rsidR="001E7776" w:rsidRPr="001E7776" w:rsidRDefault="001E7776" w:rsidP="001E7776">
      <w:pPr>
        <w:keepNext/>
        <w:spacing w:after="120"/>
        <w:ind w:left="425"/>
        <w:rPr>
          <w:rFonts w:asciiTheme="majorHAnsi" w:hAnsiTheme="majorHAnsi"/>
          <w:b/>
          <w:bCs/>
          <w:color w:val="00B5E2" w:themeColor="accent1"/>
          <w:sz w:val="20"/>
        </w:rPr>
      </w:pPr>
      <w:bookmarkStart w:id="106" w:name="_Ref523824198"/>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bookmarkEnd w:id="106"/>
      <w:r w:rsidRPr="001E7776">
        <w:rPr>
          <w:rFonts w:asciiTheme="majorHAnsi" w:hAnsiTheme="majorHAnsi"/>
          <w:b/>
          <w:bCs/>
          <w:color w:val="00B5E2" w:themeColor="accent1"/>
          <w:sz w:val="20"/>
        </w:rPr>
        <w:t>: Number of bedrooms in household spaces, 2011</w:t>
      </w:r>
    </w:p>
    <w:tbl>
      <w:tblPr>
        <w:tblW w:w="4736" w:type="pct"/>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705"/>
        <w:gridCol w:w="1393"/>
        <w:gridCol w:w="835"/>
        <w:gridCol w:w="1393"/>
        <w:gridCol w:w="1097"/>
      </w:tblGrid>
      <w:tr w:rsidR="001E7776" w:rsidRPr="001E7776" w14:paraId="06A41473" w14:textId="77777777" w:rsidTr="001E7776">
        <w:trPr>
          <w:trHeight w:val="279"/>
        </w:trPr>
        <w:tc>
          <w:tcPr>
            <w:tcW w:w="2497" w:type="pct"/>
            <w:shd w:val="clear" w:color="auto" w:fill="000000"/>
            <w:hideMark/>
          </w:tcPr>
          <w:p w14:paraId="17B313EA" w14:textId="77777777" w:rsidR="001E7776" w:rsidRPr="001E7776" w:rsidRDefault="001E7776" w:rsidP="001E7776">
            <w:pPr>
              <w:rPr>
                <w:rFonts w:cs="Arial"/>
                <w:b/>
                <w:bCs/>
                <w:lang w:eastAsia="en-GB"/>
              </w:rPr>
            </w:pPr>
            <w:r w:rsidRPr="001E7776">
              <w:rPr>
                <w:rFonts w:cs="Arial"/>
                <w:b/>
                <w:bCs/>
                <w:lang w:eastAsia="en-GB"/>
              </w:rPr>
              <w:t>Bedrooms</w:t>
            </w:r>
          </w:p>
        </w:tc>
        <w:tc>
          <w:tcPr>
            <w:tcW w:w="1182" w:type="pct"/>
            <w:gridSpan w:val="2"/>
            <w:shd w:val="clear" w:color="auto" w:fill="000000"/>
            <w:hideMark/>
          </w:tcPr>
          <w:p w14:paraId="4C0FBDD7" w14:textId="71FC1F54" w:rsidR="001E7776" w:rsidRPr="001E7776" w:rsidRDefault="00A61EB3" w:rsidP="001E7776">
            <w:pPr>
              <w:jc w:val="center"/>
              <w:rPr>
                <w:rFonts w:cs="Arial"/>
                <w:b/>
                <w:lang w:eastAsia="en-GB"/>
              </w:rPr>
            </w:pPr>
            <w:r>
              <w:rPr>
                <w:rFonts w:cs="Arial"/>
                <w:b/>
                <w:lang w:eastAsia="en-GB"/>
              </w:rPr>
              <w:t>Copdock and Washbrook</w:t>
            </w:r>
          </w:p>
        </w:tc>
        <w:tc>
          <w:tcPr>
            <w:tcW w:w="1321" w:type="pct"/>
            <w:gridSpan w:val="2"/>
            <w:shd w:val="clear" w:color="auto" w:fill="000000"/>
            <w:hideMark/>
          </w:tcPr>
          <w:p w14:paraId="12F2C609" w14:textId="5DD4B61D" w:rsidR="001E7776" w:rsidRPr="001E7776" w:rsidRDefault="00A61EB3" w:rsidP="001E7776">
            <w:pPr>
              <w:jc w:val="center"/>
              <w:rPr>
                <w:rFonts w:cs="Arial"/>
                <w:b/>
                <w:lang w:eastAsia="en-GB"/>
              </w:rPr>
            </w:pPr>
            <w:r>
              <w:rPr>
                <w:rFonts w:cs="Arial"/>
                <w:b/>
                <w:lang w:eastAsia="en-GB"/>
              </w:rPr>
              <w:t>Babergh</w:t>
            </w:r>
          </w:p>
        </w:tc>
      </w:tr>
      <w:tr w:rsidR="001E7776" w:rsidRPr="001E7776" w14:paraId="6F9A29E0" w14:textId="77777777" w:rsidTr="001E7776">
        <w:trPr>
          <w:trHeight w:val="279"/>
        </w:trPr>
        <w:tc>
          <w:tcPr>
            <w:tcW w:w="2497" w:type="pct"/>
            <w:shd w:val="clear" w:color="auto" w:fill="000000"/>
          </w:tcPr>
          <w:p w14:paraId="5FB136B3" w14:textId="77777777" w:rsidR="001E7776" w:rsidRPr="001E7776" w:rsidRDefault="001E7776" w:rsidP="001E7776">
            <w:pPr>
              <w:rPr>
                <w:rFonts w:cs="Arial"/>
                <w:b/>
                <w:bCs/>
                <w:lang w:eastAsia="en-GB"/>
              </w:rPr>
            </w:pPr>
          </w:p>
        </w:tc>
        <w:tc>
          <w:tcPr>
            <w:tcW w:w="739" w:type="pct"/>
            <w:shd w:val="clear" w:color="auto" w:fill="000000"/>
          </w:tcPr>
          <w:p w14:paraId="2C8C5056" w14:textId="77777777" w:rsidR="001E7776" w:rsidRPr="001E7776" w:rsidRDefault="001E7776" w:rsidP="001E7776">
            <w:pPr>
              <w:rPr>
                <w:rFonts w:cs="Arial"/>
                <w:b/>
                <w:lang w:eastAsia="en-GB"/>
              </w:rPr>
            </w:pPr>
            <w:r w:rsidRPr="001E7776">
              <w:rPr>
                <w:rFonts w:cs="Arial"/>
                <w:b/>
                <w:lang w:eastAsia="en-GB"/>
              </w:rPr>
              <w:t>Number</w:t>
            </w:r>
          </w:p>
        </w:tc>
        <w:tc>
          <w:tcPr>
            <w:tcW w:w="443" w:type="pct"/>
            <w:shd w:val="clear" w:color="auto" w:fill="000000"/>
          </w:tcPr>
          <w:p w14:paraId="1DF2CEE2" w14:textId="77777777" w:rsidR="001E7776" w:rsidRPr="001E7776" w:rsidRDefault="001E7776" w:rsidP="001E7776">
            <w:pPr>
              <w:rPr>
                <w:rFonts w:cs="Arial"/>
                <w:b/>
                <w:lang w:eastAsia="en-GB"/>
              </w:rPr>
            </w:pPr>
            <w:r w:rsidRPr="001E7776">
              <w:rPr>
                <w:rFonts w:cs="Arial"/>
                <w:b/>
                <w:lang w:eastAsia="en-GB"/>
              </w:rPr>
              <w:t>%</w:t>
            </w:r>
          </w:p>
        </w:tc>
        <w:tc>
          <w:tcPr>
            <w:tcW w:w="739" w:type="pct"/>
            <w:shd w:val="clear" w:color="auto" w:fill="000000"/>
          </w:tcPr>
          <w:p w14:paraId="06F76D33" w14:textId="77777777" w:rsidR="001E7776" w:rsidRPr="001E7776" w:rsidRDefault="001E7776" w:rsidP="001E7776">
            <w:pPr>
              <w:rPr>
                <w:rFonts w:cs="Arial"/>
                <w:b/>
                <w:lang w:eastAsia="en-GB"/>
              </w:rPr>
            </w:pPr>
            <w:r w:rsidRPr="001E7776">
              <w:rPr>
                <w:rFonts w:cs="Arial"/>
                <w:b/>
                <w:lang w:eastAsia="en-GB"/>
              </w:rPr>
              <w:t>Number</w:t>
            </w:r>
          </w:p>
        </w:tc>
        <w:tc>
          <w:tcPr>
            <w:tcW w:w="582" w:type="pct"/>
            <w:shd w:val="clear" w:color="auto" w:fill="000000"/>
            <w:noWrap/>
          </w:tcPr>
          <w:p w14:paraId="5D2500BD" w14:textId="77777777" w:rsidR="001E7776" w:rsidRPr="001E7776" w:rsidRDefault="001E7776" w:rsidP="001E7776">
            <w:pPr>
              <w:rPr>
                <w:rFonts w:cs="Arial"/>
                <w:b/>
                <w:lang w:eastAsia="en-GB"/>
              </w:rPr>
            </w:pPr>
            <w:r w:rsidRPr="001E7776">
              <w:rPr>
                <w:rFonts w:cs="Arial"/>
                <w:b/>
                <w:lang w:eastAsia="en-GB"/>
              </w:rPr>
              <w:t>%%</w:t>
            </w:r>
          </w:p>
        </w:tc>
      </w:tr>
      <w:tr w:rsidR="00A61EB3" w:rsidRPr="001E7776" w14:paraId="2753F2B6" w14:textId="77777777" w:rsidTr="001E7776">
        <w:trPr>
          <w:trHeight w:val="279"/>
        </w:trPr>
        <w:tc>
          <w:tcPr>
            <w:tcW w:w="2497" w:type="pct"/>
            <w:tcBorders>
              <w:right w:val="single" w:sz="4" w:space="0" w:color="auto"/>
            </w:tcBorders>
            <w:shd w:val="clear" w:color="auto" w:fill="auto"/>
            <w:noWrap/>
            <w:vAlign w:val="center"/>
            <w:hideMark/>
          </w:tcPr>
          <w:p w14:paraId="084560B4" w14:textId="77777777" w:rsidR="00A61EB3" w:rsidRPr="001E7776" w:rsidRDefault="00A61EB3" w:rsidP="00A61EB3">
            <w:pPr>
              <w:rPr>
                <w:rFonts w:cs="Arial"/>
                <w:lang w:eastAsia="en-GB"/>
              </w:rPr>
            </w:pPr>
            <w:r w:rsidRPr="001E7776">
              <w:rPr>
                <w:rFonts w:cs="Arial"/>
                <w:lang w:eastAsia="en-GB"/>
              </w:rPr>
              <w:t>All categories: Number of bedrooms</w:t>
            </w:r>
          </w:p>
        </w:tc>
        <w:tc>
          <w:tcPr>
            <w:tcW w:w="739" w:type="pct"/>
            <w:tcBorders>
              <w:top w:val="single" w:sz="8" w:space="0" w:color="auto"/>
              <w:left w:val="single" w:sz="4" w:space="0" w:color="auto"/>
              <w:bottom w:val="single" w:sz="4" w:space="0" w:color="auto"/>
              <w:right w:val="single" w:sz="4" w:space="0" w:color="auto"/>
            </w:tcBorders>
            <w:shd w:val="clear" w:color="auto" w:fill="auto"/>
            <w:noWrap/>
          </w:tcPr>
          <w:p w14:paraId="689B8346" w14:textId="5E08457E" w:rsidR="00A61EB3" w:rsidRPr="001E7776" w:rsidRDefault="00A61EB3" w:rsidP="00A61EB3">
            <w:pPr>
              <w:rPr>
                <w:rFonts w:cs="Arial"/>
                <w:lang w:eastAsia="en-GB"/>
              </w:rPr>
            </w:pPr>
            <w:r w:rsidRPr="0099243C">
              <w:t>452</w:t>
            </w:r>
          </w:p>
        </w:tc>
        <w:tc>
          <w:tcPr>
            <w:tcW w:w="443" w:type="pct"/>
            <w:tcBorders>
              <w:top w:val="single" w:sz="8" w:space="0" w:color="auto"/>
              <w:left w:val="single" w:sz="4" w:space="0" w:color="auto"/>
              <w:bottom w:val="single" w:sz="4" w:space="0" w:color="auto"/>
              <w:right w:val="single" w:sz="4" w:space="0" w:color="auto"/>
            </w:tcBorders>
            <w:shd w:val="clear" w:color="auto" w:fill="auto"/>
            <w:noWrap/>
          </w:tcPr>
          <w:p w14:paraId="310802E0" w14:textId="197CEAF0" w:rsidR="00A61EB3" w:rsidRPr="001E7776" w:rsidRDefault="00A61EB3" w:rsidP="00A61EB3">
            <w:pPr>
              <w:rPr>
                <w:rFonts w:cs="Arial"/>
                <w:lang w:eastAsia="en-GB"/>
              </w:rPr>
            </w:pPr>
            <w:r w:rsidRPr="0099243C">
              <w:t>100.0%</w:t>
            </w:r>
          </w:p>
        </w:tc>
        <w:tc>
          <w:tcPr>
            <w:tcW w:w="739" w:type="pct"/>
            <w:tcBorders>
              <w:top w:val="single" w:sz="8" w:space="0" w:color="auto"/>
              <w:left w:val="single" w:sz="4" w:space="0" w:color="auto"/>
              <w:bottom w:val="single" w:sz="4" w:space="0" w:color="auto"/>
              <w:right w:val="single" w:sz="4" w:space="0" w:color="auto"/>
            </w:tcBorders>
            <w:shd w:val="clear" w:color="auto" w:fill="auto"/>
            <w:noWrap/>
          </w:tcPr>
          <w:p w14:paraId="1B631B2D" w14:textId="0894F409" w:rsidR="00A61EB3" w:rsidRPr="001E7776" w:rsidRDefault="00A61EB3" w:rsidP="00A61EB3">
            <w:pPr>
              <w:rPr>
                <w:rFonts w:cs="Arial"/>
                <w:lang w:eastAsia="en-GB"/>
              </w:rPr>
            </w:pPr>
            <w:r w:rsidRPr="0099243C">
              <w:t>37,522</w:t>
            </w:r>
          </w:p>
        </w:tc>
        <w:tc>
          <w:tcPr>
            <w:tcW w:w="582" w:type="pct"/>
            <w:tcBorders>
              <w:top w:val="single" w:sz="8" w:space="0" w:color="auto"/>
              <w:left w:val="single" w:sz="4" w:space="0" w:color="auto"/>
              <w:bottom w:val="single" w:sz="4" w:space="0" w:color="auto"/>
              <w:right w:val="single" w:sz="4" w:space="0" w:color="auto"/>
            </w:tcBorders>
            <w:shd w:val="clear" w:color="auto" w:fill="auto"/>
            <w:noWrap/>
          </w:tcPr>
          <w:p w14:paraId="441651FB" w14:textId="456B6956" w:rsidR="00A61EB3" w:rsidRPr="001E7776" w:rsidRDefault="00A61EB3" w:rsidP="00A61EB3">
            <w:pPr>
              <w:rPr>
                <w:rFonts w:cs="Arial"/>
                <w:lang w:eastAsia="en-GB"/>
              </w:rPr>
            </w:pPr>
            <w:r w:rsidRPr="0099243C">
              <w:t>100.0%</w:t>
            </w:r>
          </w:p>
        </w:tc>
      </w:tr>
      <w:tr w:rsidR="00A61EB3" w:rsidRPr="001E7776" w14:paraId="274A4B1B" w14:textId="77777777" w:rsidTr="001E7776">
        <w:trPr>
          <w:trHeight w:val="279"/>
        </w:trPr>
        <w:tc>
          <w:tcPr>
            <w:tcW w:w="2497" w:type="pct"/>
            <w:tcBorders>
              <w:right w:val="single" w:sz="4" w:space="0" w:color="auto"/>
            </w:tcBorders>
            <w:shd w:val="clear" w:color="auto" w:fill="auto"/>
            <w:noWrap/>
            <w:vAlign w:val="center"/>
            <w:hideMark/>
          </w:tcPr>
          <w:p w14:paraId="5A92F281" w14:textId="77777777" w:rsidR="00A61EB3" w:rsidRPr="001E7776" w:rsidRDefault="00A61EB3" w:rsidP="00A61EB3">
            <w:pPr>
              <w:rPr>
                <w:rFonts w:cs="Arial"/>
                <w:lang w:eastAsia="en-GB"/>
              </w:rPr>
            </w:pPr>
            <w:r w:rsidRPr="001E7776">
              <w:rPr>
                <w:rFonts w:cs="Arial"/>
                <w:lang w:eastAsia="en-GB"/>
              </w:rPr>
              <w:t>No bedrooms</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526E1627" w14:textId="6988DA5A" w:rsidR="00A61EB3" w:rsidRPr="001E7776" w:rsidRDefault="00A61EB3" w:rsidP="00A61EB3">
            <w:pPr>
              <w:rPr>
                <w:rFonts w:cs="Arial"/>
                <w:lang w:eastAsia="en-GB"/>
              </w:rPr>
            </w:pPr>
            <w:r w:rsidRPr="0099243C">
              <w:t>0</w:t>
            </w:r>
          </w:p>
        </w:tc>
        <w:tc>
          <w:tcPr>
            <w:tcW w:w="443" w:type="pct"/>
            <w:tcBorders>
              <w:top w:val="single" w:sz="4" w:space="0" w:color="auto"/>
              <w:left w:val="single" w:sz="4" w:space="0" w:color="auto"/>
              <w:bottom w:val="single" w:sz="4" w:space="0" w:color="auto"/>
              <w:right w:val="single" w:sz="4" w:space="0" w:color="auto"/>
            </w:tcBorders>
            <w:shd w:val="clear" w:color="auto" w:fill="auto"/>
            <w:noWrap/>
          </w:tcPr>
          <w:p w14:paraId="6454C775" w14:textId="6AC71FD0" w:rsidR="00A61EB3" w:rsidRPr="001E7776" w:rsidRDefault="00A61EB3" w:rsidP="00A61EB3">
            <w:pPr>
              <w:rPr>
                <w:rFonts w:cs="Arial"/>
                <w:lang w:eastAsia="en-GB"/>
              </w:rPr>
            </w:pPr>
            <w:r w:rsidRPr="0099243C">
              <w:t>0.0%</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2374C5EC" w14:textId="02286313" w:rsidR="00A61EB3" w:rsidRPr="001E7776" w:rsidRDefault="00A61EB3" w:rsidP="00A61EB3">
            <w:pPr>
              <w:rPr>
                <w:rFonts w:cs="Arial"/>
                <w:lang w:eastAsia="en-GB"/>
              </w:rPr>
            </w:pPr>
            <w:r w:rsidRPr="0099243C">
              <w:t>48</w:t>
            </w:r>
          </w:p>
        </w:tc>
        <w:tc>
          <w:tcPr>
            <w:tcW w:w="582" w:type="pct"/>
            <w:tcBorders>
              <w:top w:val="single" w:sz="4" w:space="0" w:color="auto"/>
              <w:left w:val="single" w:sz="4" w:space="0" w:color="auto"/>
              <w:bottom w:val="single" w:sz="4" w:space="0" w:color="auto"/>
              <w:right w:val="single" w:sz="4" w:space="0" w:color="auto"/>
            </w:tcBorders>
            <w:shd w:val="clear" w:color="auto" w:fill="auto"/>
            <w:noWrap/>
          </w:tcPr>
          <w:p w14:paraId="51D9B039" w14:textId="1E0B3547" w:rsidR="00A61EB3" w:rsidRPr="001E7776" w:rsidRDefault="00A61EB3" w:rsidP="00A61EB3">
            <w:pPr>
              <w:rPr>
                <w:rFonts w:cs="Arial"/>
                <w:lang w:eastAsia="en-GB"/>
              </w:rPr>
            </w:pPr>
            <w:r w:rsidRPr="0099243C">
              <w:t>0.1%</w:t>
            </w:r>
          </w:p>
        </w:tc>
      </w:tr>
      <w:tr w:rsidR="00A61EB3" w:rsidRPr="001E7776" w14:paraId="4F4C7675" w14:textId="77777777" w:rsidTr="001E7776">
        <w:trPr>
          <w:trHeight w:val="279"/>
        </w:trPr>
        <w:tc>
          <w:tcPr>
            <w:tcW w:w="2497" w:type="pct"/>
            <w:tcBorders>
              <w:right w:val="single" w:sz="4" w:space="0" w:color="auto"/>
            </w:tcBorders>
            <w:shd w:val="clear" w:color="auto" w:fill="auto"/>
            <w:noWrap/>
            <w:vAlign w:val="center"/>
            <w:hideMark/>
          </w:tcPr>
          <w:p w14:paraId="683020D3" w14:textId="77777777" w:rsidR="00A61EB3" w:rsidRPr="001E7776" w:rsidRDefault="00A61EB3" w:rsidP="00A61EB3">
            <w:pPr>
              <w:rPr>
                <w:rFonts w:cs="Arial"/>
                <w:lang w:eastAsia="en-GB"/>
              </w:rPr>
            </w:pPr>
            <w:r w:rsidRPr="001E7776">
              <w:rPr>
                <w:rFonts w:cs="Arial"/>
                <w:lang w:eastAsia="en-GB"/>
              </w:rPr>
              <w:t>1 bedroom</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19682C93" w14:textId="5399E785" w:rsidR="00A61EB3" w:rsidRPr="001E7776" w:rsidRDefault="00A61EB3" w:rsidP="00A61EB3">
            <w:pPr>
              <w:rPr>
                <w:rFonts w:cs="Arial"/>
                <w:lang w:eastAsia="en-GB"/>
              </w:rPr>
            </w:pPr>
            <w:r w:rsidRPr="0099243C">
              <w:t>17</w:t>
            </w:r>
          </w:p>
        </w:tc>
        <w:tc>
          <w:tcPr>
            <w:tcW w:w="443" w:type="pct"/>
            <w:tcBorders>
              <w:top w:val="single" w:sz="4" w:space="0" w:color="auto"/>
              <w:left w:val="single" w:sz="4" w:space="0" w:color="auto"/>
              <w:bottom w:val="single" w:sz="4" w:space="0" w:color="auto"/>
              <w:right w:val="single" w:sz="4" w:space="0" w:color="auto"/>
            </w:tcBorders>
            <w:shd w:val="clear" w:color="auto" w:fill="auto"/>
            <w:noWrap/>
          </w:tcPr>
          <w:p w14:paraId="4C82C8C9" w14:textId="7049347C" w:rsidR="00A61EB3" w:rsidRPr="001E7776" w:rsidRDefault="00A61EB3" w:rsidP="00A61EB3">
            <w:pPr>
              <w:rPr>
                <w:rFonts w:cs="Arial"/>
                <w:lang w:eastAsia="en-GB"/>
              </w:rPr>
            </w:pPr>
            <w:r w:rsidRPr="0099243C">
              <w:t>3.8%</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505DA880" w14:textId="25018FCB" w:rsidR="00A61EB3" w:rsidRPr="001E7776" w:rsidRDefault="00A61EB3" w:rsidP="00A61EB3">
            <w:pPr>
              <w:rPr>
                <w:rFonts w:cs="Arial"/>
                <w:lang w:eastAsia="en-GB"/>
              </w:rPr>
            </w:pPr>
            <w:r w:rsidRPr="0099243C">
              <w:t>2,361</w:t>
            </w:r>
          </w:p>
        </w:tc>
        <w:tc>
          <w:tcPr>
            <w:tcW w:w="582" w:type="pct"/>
            <w:tcBorders>
              <w:top w:val="single" w:sz="4" w:space="0" w:color="auto"/>
              <w:left w:val="single" w:sz="4" w:space="0" w:color="auto"/>
              <w:bottom w:val="single" w:sz="4" w:space="0" w:color="auto"/>
              <w:right w:val="single" w:sz="4" w:space="0" w:color="auto"/>
            </w:tcBorders>
            <w:shd w:val="clear" w:color="auto" w:fill="auto"/>
            <w:noWrap/>
          </w:tcPr>
          <w:p w14:paraId="34161C67" w14:textId="468A81DA" w:rsidR="00A61EB3" w:rsidRPr="001E7776" w:rsidRDefault="00A61EB3" w:rsidP="00A61EB3">
            <w:pPr>
              <w:rPr>
                <w:rFonts w:cs="Arial"/>
                <w:lang w:eastAsia="en-GB"/>
              </w:rPr>
            </w:pPr>
            <w:r w:rsidRPr="0099243C">
              <w:t>6.3%</w:t>
            </w:r>
          </w:p>
        </w:tc>
      </w:tr>
      <w:tr w:rsidR="00A61EB3" w:rsidRPr="001E7776" w14:paraId="3E261E2A" w14:textId="77777777" w:rsidTr="001E7776">
        <w:trPr>
          <w:trHeight w:val="279"/>
        </w:trPr>
        <w:tc>
          <w:tcPr>
            <w:tcW w:w="2497" w:type="pct"/>
            <w:tcBorders>
              <w:right w:val="single" w:sz="4" w:space="0" w:color="auto"/>
            </w:tcBorders>
            <w:shd w:val="clear" w:color="auto" w:fill="auto"/>
            <w:noWrap/>
            <w:vAlign w:val="center"/>
            <w:hideMark/>
          </w:tcPr>
          <w:p w14:paraId="43693494" w14:textId="77777777" w:rsidR="00A61EB3" w:rsidRPr="001E7776" w:rsidRDefault="00A61EB3" w:rsidP="00A61EB3">
            <w:pPr>
              <w:rPr>
                <w:rFonts w:cs="Arial"/>
                <w:lang w:eastAsia="en-GB"/>
              </w:rPr>
            </w:pPr>
            <w:r w:rsidRPr="001E7776">
              <w:rPr>
                <w:rFonts w:cs="Arial"/>
                <w:lang w:eastAsia="en-GB"/>
              </w:rPr>
              <w:t>2 bedrooms</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3612F5F2" w14:textId="20A215D0" w:rsidR="00A61EB3" w:rsidRPr="001E7776" w:rsidRDefault="00A61EB3" w:rsidP="00A61EB3">
            <w:pPr>
              <w:rPr>
                <w:rFonts w:cs="Arial"/>
                <w:lang w:eastAsia="en-GB"/>
              </w:rPr>
            </w:pPr>
            <w:r w:rsidRPr="0099243C">
              <w:t>126</w:t>
            </w:r>
          </w:p>
        </w:tc>
        <w:tc>
          <w:tcPr>
            <w:tcW w:w="443" w:type="pct"/>
            <w:tcBorders>
              <w:top w:val="single" w:sz="4" w:space="0" w:color="auto"/>
              <w:left w:val="single" w:sz="4" w:space="0" w:color="auto"/>
              <w:bottom w:val="single" w:sz="4" w:space="0" w:color="auto"/>
              <w:right w:val="single" w:sz="4" w:space="0" w:color="auto"/>
            </w:tcBorders>
            <w:shd w:val="clear" w:color="auto" w:fill="auto"/>
            <w:noWrap/>
          </w:tcPr>
          <w:p w14:paraId="10721923" w14:textId="7345D57F" w:rsidR="00A61EB3" w:rsidRPr="001E7776" w:rsidRDefault="00A61EB3" w:rsidP="00A61EB3">
            <w:pPr>
              <w:rPr>
                <w:rFonts w:cs="Arial"/>
                <w:lang w:eastAsia="en-GB"/>
              </w:rPr>
            </w:pPr>
            <w:r w:rsidRPr="0099243C">
              <w:t>27.9%</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043B0D7D" w14:textId="3163E764" w:rsidR="00A61EB3" w:rsidRPr="001E7776" w:rsidRDefault="00A61EB3" w:rsidP="00A61EB3">
            <w:pPr>
              <w:rPr>
                <w:rFonts w:cs="Arial"/>
                <w:lang w:eastAsia="en-GB"/>
              </w:rPr>
            </w:pPr>
            <w:r w:rsidRPr="0099243C">
              <w:t>9,525</w:t>
            </w:r>
          </w:p>
        </w:tc>
        <w:tc>
          <w:tcPr>
            <w:tcW w:w="582" w:type="pct"/>
            <w:tcBorders>
              <w:top w:val="single" w:sz="4" w:space="0" w:color="auto"/>
              <w:left w:val="single" w:sz="4" w:space="0" w:color="auto"/>
              <w:bottom w:val="single" w:sz="4" w:space="0" w:color="auto"/>
              <w:right w:val="single" w:sz="4" w:space="0" w:color="auto"/>
            </w:tcBorders>
            <w:shd w:val="clear" w:color="auto" w:fill="auto"/>
            <w:noWrap/>
          </w:tcPr>
          <w:p w14:paraId="6881299B" w14:textId="77570725" w:rsidR="00A61EB3" w:rsidRPr="001E7776" w:rsidRDefault="00A61EB3" w:rsidP="00A61EB3">
            <w:pPr>
              <w:rPr>
                <w:rFonts w:cs="Arial"/>
                <w:lang w:eastAsia="en-GB"/>
              </w:rPr>
            </w:pPr>
            <w:r w:rsidRPr="0099243C">
              <w:t>25.4%</w:t>
            </w:r>
          </w:p>
        </w:tc>
      </w:tr>
      <w:tr w:rsidR="00A61EB3" w:rsidRPr="001E7776" w14:paraId="52C00942" w14:textId="77777777" w:rsidTr="001E7776">
        <w:trPr>
          <w:trHeight w:val="279"/>
        </w:trPr>
        <w:tc>
          <w:tcPr>
            <w:tcW w:w="2497" w:type="pct"/>
            <w:tcBorders>
              <w:right w:val="single" w:sz="4" w:space="0" w:color="auto"/>
            </w:tcBorders>
            <w:shd w:val="clear" w:color="auto" w:fill="auto"/>
            <w:noWrap/>
            <w:vAlign w:val="center"/>
            <w:hideMark/>
          </w:tcPr>
          <w:p w14:paraId="575FF897" w14:textId="77777777" w:rsidR="00A61EB3" w:rsidRPr="001E7776" w:rsidRDefault="00A61EB3" w:rsidP="00A61EB3">
            <w:pPr>
              <w:rPr>
                <w:rFonts w:cs="Arial"/>
                <w:lang w:eastAsia="en-GB"/>
              </w:rPr>
            </w:pPr>
            <w:r w:rsidRPr="001E7776">
              <w:rPr>
                <w:rFonts w:cs="Arial"/>
                <w:lang w:eastAsia="en-GB"/>
              </w:rPr>
              <w:t>3 bedrooms</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17D08FB3" w14:textId="5C2EFEB1" w:rsidR="00A61EB3" w:rsidRPr="001E7776" w:rsidRDefault="00A61EB3" w:rsidP="00A61EB3">
            <w:pPr>
              <w:rPr>
                <w:rFonts w:cs="Arial"/>
                <w:lang w:eastAsia="en-GB"/>
              </w:rPr>
            </w:pPr>
            <w:r w:rsidRPr="0099243C">
              <w:t>179</w:t>
            </w:r>
          </w:p>
        </w:tc>
        <w:tc>
          <w:tcPr>
            <w:tcW w:w="443" w:type="pct"/>
            <w:tcBorders>
              <w:top w:val="single" w:sz="4" w:space="0" w:color="auto"/>
              <w:left w:val="single" w:sz="4" w:space="0" w:color="auto"/>
              <w:bottom w:val="single" w:sz="4" w:space="0" w:color="auto"/>
              <w:right w:val="single" w:sz="4" w:space="0" w:color="auto"/>
            </w:tcBorders>
            <w:shd w:val="clear" w:color="auto" w:fill="auto"/>
            <w:noWrap/>
          </w:tcPr>
          <w:p w14:paraId="37258D83" w14:textId="67E883C5" w:rsidR="00A61EB3" w:rsidRPr="001E7776" w:rsidRDefault="00A61EB3" w:rsidP="00A61EB3">
            <w:pPr>
              <w:rPr>
                <w:rFonts w:cs="Arial"/>
                <w:lang w:eastAsia="en-GB"/>
              </w:rPr>
            </w:pPr>
            <w:r w:rsidRPr="0099243C">
              <w:t>39.6%</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36B29902" w14:textId="424D7E02" w:rsidR="00A61EB3" w:rsidRPr="001E7776" w:rsidRDefault="00A61EB3" w:rsidP="00A61EB3">
            <w:pPr>
              <w:rPr>
                <w:rFonts w:cs="Arial"/>
                <w:lang w:eastAsia="en-GB"/>
              </w:rPr>
            </w:pPr>
            <w:r w:rsidRPr="0099243C">
              <w:t>15,756</w:t>
            </w:r>
          </w:p>
        </w:tc>
        <w:tc>
          <w:tcPr>
            <w:tcW w:w="582" w:type="pct"/>
            <w:tcBorders>
              <w:top w:val="single" w:sz="4" w:space="0" w:color="auto"/>
              <w:left w:val="single" w:sz="4" w:space="0" w:color="auto"/>
              <w:bottom w:val="single" w:sz="4" w:space="0" w:color="auto"/>
              <w:right w:val="single" w:sz="4" w:space="0" w:color="auto"/>
            </w:tcBorders>
            <w:shd w:val="clear" w:color="auto" w:fill="auto"/>
            <w:noWrap/>
          </w:tcPr>
          <w:p w14:paraId="7CA4A0F6" w14:textId="2AB5D97A" w:rsidR="00A61EB3" w:rsidRPr="001E7776" w:rsidRDefault="00A61EB3" w:rsidP="00A61EB3">
            <w:pPr>
              <w:rPr>
                <w:rFonts w:cs="Arial"/>
                <w:lang w:eastAsia="en-GB"/>
              </w:rPr>
            </w:pPr>
            <w:r w:rsidRPr="0099243C">
              <w:t>42.0%</w:t>
            </w:r>
          </w:p>
        </w:tc>
      </w:tr>
      <w:tr w:rsidR="00A61EB3" w:rsidRPr="001E7776" w14:paraId="1C7EC682" w14:textId="77777777" w:rsidTr="001E7776">
        <w:trPr>
          <w:trHeight w:val="279"/>
        </w:trPr>
        <w:tc>
          <w:tcPr>
            <w:tcW w:w="2497" w:type="pct"/>
            <w:tcBorders>
              <w:right w:val="single" w:sz="4" w:space="0" w:color="auto"/>
            </w:tcBorders>
            <w:shd w:val="clear" w:color="auto" w:fill="auto"/>
            <w:noWrap/>
            <w:vAlign w:val="center"/>
            <w:hideMark/>
          </w:tcPr>
          <w:p w14:paraId="2C30079D" w14:textId="77777777" w:rsidR="00A61EB3" w:rsidRPr="001E7776" w:rsidRDefault="00A61EB3" w:rsidP="00A61EB3">
            <w:pPr>
              <w:rPr>
                <w:rFonts w:cs="Arial"/>
                <w:lang w:eastAsia="en-GB"/>
              </w:rPr>
            </w:pPr>
            <w:r w:rsidRPr="001E7776">
              <w:rPr>
                <w:rFonts w:cs="Arial"/>
                <w:lang w:eastAsia="en-GB"/>
              </w:rPr>
              <w:t>4 bedrooms</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49A0D552" w14:textId="435129C0" w:rsidR="00A61EB3" w:rsidRPr="001E7776" w:rsidRDefault="00A61EB3" w:rsidP="00A61EB3">
            <w:pPr>
              <w:rPr>
                <w:rFonts w:cs="Arial"/>
                <w:lang w:eastAsia="en-GB"/>
              </w:rPr>
            </w:pPr>
            <w:r w:rsidRPr="0099243C">
              <w:t>93</w:t>
            </w:r>
          </w:p>
        </w:tc>
        <w:tc>
          <w:tcPr>
            <w:tcW w:w="443" w:type="pct"/>
            <w:tcBorders>
              <w:top w:val="single" w:sz="4" w:space="0" w:color="auto"/>
              <w:left w:val="single" w:sz="4" w:space="0" w:color="auto"/>
              <w:bottom w:val="single" w:sz="4" w:space="0" w:color="auto"/>
              <w:right w:val="single" w:sz="4" w:space="0" w:color="auto"/>
            </w:tcBorders>
            <w:shd w:val="clear" w:color="auto" w:fill="auto"/>
            <w:noWrap/>
          </w:tcPr>
          <w:p w14:paraId="3A2488F9" w14:textId="044A817D" w:rsidR="00A61EB3" w:rsidRPr="001E7776" w:rsidRDefault="00A61EB3" w:rsidP="00A61EB3">
            <w:pPr>
              <w:rPr>
                <w:rFonts w:cs="Arial"/>
                <w:lang w:eastAsia="en-GB"/>
              </w:rPr>
            </w:pPr>
            <w:r w:rsidRPr="0099243C">
              <w:t>20.6%</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26A79EA9" w14:textId="3D820275" w:rsidR="00A61EB3" w:rsidRPr="001E7776" w:rsidRDefault="00A61EB3" w:rsidP="00A61EB3">
            <w:pPr>
              <w:rPr>
                <w:rFonts w:cs="Arial"/>
                <w:lang w:eastAsia="en-GB"/>
              </w:rPr>
            </w:pPr>
            <w:r w:rsidRPr="0099243C">
              <w:t>7,576</w:t>
            </w:r>
          </w:p>
        </w:tc>
        <w:tc>
          <w:tcPr>
            <w:tcW w:w="582" w:type="pct"/>
            <w:tcBorders>
              <w:top w:val="single" w:sz="4" w:space="0" w:color="auto"/>
              <w:left w:val="single" w:sz="4" w:space="0" w:color="auto"/>
              <w:bottom w:val="single" w:sz="4" w:space="0" w:color="auto"/>
              <w:right w:val="single" w:sz="4" w:space="0" w:color="auto"/>
            </w:tcBorders>
            <w:shd w:val="clear" w:color="auto" w:fill="auto"/>
            <w:noWrap/>
          </w:tcPr>
          <w:p w14:paraId="077E89F2" w14:textId="3C8ACA26" w:rsidR="00A61EB3" w:rsidRPr="001E7776" w:rsidRDefault="00A61EB3" w:rsidP="00A61EB3">
            <w:pPr>
              <w:rPr>
                <w:rFonts w:cs="Arial"/>
                <w:lang w:eastAsia="en-GB"/>
              </w:rPr>
            </w:pPr>
            <w:r w:rsidRPr="0099243C">
              <w:t>20.2%</w:t>
            </w:r>
          </w:p>
        </w:tc>
      </w:tr>
      <w:tr w:rsidR="00A61EB3" w:rsidRPr="001E7776" w14:paraId="53706CE7" w14:textId="77777777" w:rsidTr="001E7776">
        <w:trPr>
          <w:trHeight w:val="279"/>
        </w:trPr>
        <w:tc>
          <w:tcPr>
            <w:tcW w:w="2497" w:type="pct"/>
            <w:tcBorders>
              <w:bottom w:val="single" w:sz="4" w:space="0" w:color="auto"/>
              <w:right w:val="single" w:sz="4" w:space="0" w:color="auto"/>
            </w:tcBorders>
            <w:shd w:val="clear" w:color="auto" w:fill="auto"/>
            <w:noWrap/>
            <w:vAlign w:val="center"/>
            <w:hideMark/>
          </w:tcPr>
          <w:p w14:paraId="4692288A" w14:textId="77777777" w:rsidR="00A61EB3" w:rsidRPr="001E7776" w:rsidRDefault="00A61EB3" w:rsidP="00A61EB3">
            <w:pPr>
              <w:rPr>
                <w:rFonts w:cs="Arial"/>
                <w:lang w:eastAsia="en-GB"/>
              </w:rPr>
            </w:pPr>
            <w:r w:rsidRPr="001E7776">
              <w:rPr>
                <w:rFonts w:cs="Arial"/>
                <w:lang w:eastAsia="en-GB"/>
              </w:rPr>
              <w:t>5 or more bedrooms</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702A22A0" w14:textId="681FFECB" w:rsidR="00A61EB3" w:rsidRPr="001E7776" w:rsidRDefault="00A61EB3" w:rsidP="00A61EB3">
            <w:pPr>
              <w:rPr>
                <w:rFonts w:cs="Arial"/>
                <w:lang w:eastAsia="en-GB"/>
              </w:rPr>
            </w:pPr>
            <w:r w:rsidRPr="0099243C">
              <w:t>37</w:t>
            </w:r>
          </w:p>
        </w:tc>
        <w:tc>
          <w:tcPr>
            <w:tcW w:w="443" w:type="pct"/>
            <w:tcBorders>
              <w:top w:val="single" w:sz="4" w:space="0" w:color="auto"/>
              <w:left w:val="single" w:sz="4" w:space="0" w:color="auto"/>
              <w:bottom w:val="single" w:sz="4" w:space="0" w:color="auto"/>
              <w:right w:val="single" w:sz="4" w:space="0" w:color="auto"/>
            </w:tcBorders>
            <w:shd w:val="clear" w:color="auto" w:fill="auto"/>
            <w:noWrap/>
          </w:tcPr>
          <w:p w14:paraId="1B7F54EE" w14:textId="48A0E0F2" w:rsidR="00A61EB3" w:rsidRPr="001E7776" w:rsidRDefault="00A61EB3" w:rsidP="00A61EB3">
            <w:pPr>
              <w:rPr>
                <w:rFonts w:cs="Arial"/>
                <w:lang w:eastAsia="en-GB"/>
              </w:rPr>
            </w:pPr>
            <w:r w:rsidRPr="0099243C">
              <w:t>8.2%</w:t>
            </w:r>
          </w:p>
        </w:tc>
        <w:tc>
          <w:tcPr>
            <w:tcW w:w="739" w:type="pct"/>
            <w:tcBorders>
              <w:top w:val="single" w:sz="4" w:space="0" w:color="auto"/>
              <w:left w:val="single" w:sz="4" w:space="0" w:color="auto"/>
              <w:bottom w:val="single" w:sz="4" w:space="0" w:color="auto"/>
              <w:right w:val="single" w:sz="4" w:space="0" w:color="auto"/>
            </w:tcBorders>
            <w:shd w:val="clear" w:color="auto" w:fill="auto"/>
            <w:noWrap/>
          </w:tcPr>
          <w:p w14:paraId="7EE9EB39" w14:textId="34E1E58D" w:rsidR="00A61EB3" w:rsidRPr="001E7776" w:rsidRDefault="00A61EB3" w:rsidP="00A61EB3">
            <w:pPr>
              <w:rPr>
                <w:rFonts w:cs="Arial"/>
                <w:lang w:eastAsia="en-GB"/>
              </w:rPr>
            </w:pPr>
            <w:r w:rsidRPr="0099243C">
              <w:t>2,256</w:t>
            </w:r>
          </w:p>
        </w:tc>
        <w:tc>
          <w:tcPr>
            <w:tcW w:w="582" w:type="pct"/>
            <w:tcBorders>
              <w:top w:val="single" w:sz="4" w:space="0" w:color="auto"/>
              <w:left w:val="single" w:sz="4" w:space="0" w:color="auto"/>
              <w:bottom w:val="single" w:sz="4" w:space="0" w:color="auto"/>
              <w:right w:val="single" w:sz="4" w:space="0" w:color="auto"/>
            </w:tcBorders>
            <w:shd w:val="clear" w:color="auto" w:fill="auto"/>
            <w:noWrap/>
          </w:tcPr>
          <w:p w14:paraId="6EF1F5D2" w14:textId="2487FC7C" w:rsidR="00A61EB3" w:rsidRPr="001E7776" w:rsidRDefault="00A61EB3" w:rsidP="00A61EB3">
            <w:pPr>
              <w:rPr>
                <w:rFonts w:cs="Arial"/>
                <w:lang w:eastAsia="en-GB"/>
              </w:rPr>
            </w:pPr>
            <w:r w:rsidRPr="0099243C">
              <w:t>6.0%</w:t>
            </w:r>
          </w:p>
        </w:tc>
      </w:tr>
    </w:tbl>
    <w:p w14:paraId="1FA5590C" w14:textId="3904B004" w:rsidR="001E7776" w:rsidRPr="00B15076" w:rsidRDefault="001E7776" w:rsidP="00D56987">
      <w:pPr>
        <w:pStyle w:val="Source"/>
        <w:rPr>
          <w:webHidden/>
        </w:rPr>
      </w:pPr>
      <w:r w:rsidRPr="001E7776">
        <w:rPr>
          <w:webHidden/>
        </w:rPr>
        <w:t>Source: ONS 2011 (QS411EW), AECOM Calculations</w:t>
      </w:r>
    </w:p>
    <w:p w14:paraId="4ADDE5BD" w14:textId="6539866C" w:rsidR="001E7776" w:rsidRPr="001E7776" w:rsidRDefault="00BC251E" w:rsidP="00D56987">
      <w:pPr>
        <w:pStyle w:val="Heading2"/>
        <w:jc w:val="both"/>
      </w:pPr>
      <w:r>
        <w:rPr>
          <w:webHidden/>
        </w:rPr>
        <w:t>As a s</w:t>
      </w:r>
      <w:r w:rsidR="00B15076" w:rsidRPr="00A96893">
        <w:rPr>
          <w:webHidden/>
        </w:rPr>
        <w:t>ummary</w:t>
      </w:r>
      <w:r>
        <w:rPr>
          <w:webHidden/>
        </w:rPr>
        <w:t xml:space="preserve"> of the assessment of dwelling size</w:t>
      </w:r>
      <w:r w:rsidR="00B15076" w:rsidRPr="00A96893">
        <w:rPr>
          <w:webHidden/>
        </w:rPr>
        <w:t xml:space="preserve">, homes in Copdock and Washbrook are mostly medium sized </w:t>
      </w:r>
      <w:r w:rsidR="00B15076">
        <w:rPr>
          <w:webHidden/>
        </w:rPr>
        <w:t xml:space="preserve">or larger </w:t>
      </w:r>
      <w:r w:rsidR="00B15076" w:rsidRPr="00A96893">
        <w:rPr>
          <w:webHidden/>
        </w:rPr>
        <w:t xml:space="preserve">dwellings, and this is </w:t>
      </w:r>
      <w:r w:rsidR="00B15076">
        <w:rPr>
          <w:webHidden/>
        </w:rPr>
        <w:t>not dis</w:t>
      </w:r>
      <w:r w:rsidR="00B15076" w:rsidRPr="00A96893">
        <w:rPr>
          <w:webHidden/>
        </w:rPr>
        <w:t>similar to the housing distribution</w:t>
      </w:r>
      <w:r w:rsidR="00B15076" w:rsidRPr="00D73329">
        <w:rPr>
          <w:webHidden/>
        </w:rPr>
        <w:t xml:space="preserve"> of the District. Recent trends suggest that </w:t>
      </w:r>
      <w:r w:rsidR="00B15076">
        <w:rPr>
          <w:webHidden/>
        </w:rPr>
        <w:t xml:space="preserve">the supply of </w:t>
      </w:r>
      <w:r w:rsidR="00B15076" w:rsidRPr="00D73329">
        <w:rPr>
          <w:webHidden/>
        </w:rPr>
        <w:t xml:space="preserve">medium to large homes </w:t>
      </w:r>
      <w:r w:rsidR="00B15076">
        <w:rPr>
          <w:webHidden/>
        </w:rPr>
        <w:t xml:space="preserve">has also increased </w:t>
      </w:r>
      <w:r w:rsidR="00B15076" w:rsidRPr="00D73329">
        <w:rPr>
          <w:webHidden/>
        </w:rPr>
        <w:t xml:space="preserve">over the inter-census period. However, it is also useful to acknowledge life stage modelling in our calculations of type and size, to ensure the housing mix meets the </w:t>
      </w:r>
      <w:r w:rsidR="00B15076">
        <w:rPr>
          <w:webHidden/>
        </w:rPr>
        <w:t xml:space="preserve">demographic </w:t>
      </w:r>
      <w:r w:rsidR="00B15076" w:rsidRPr="00D73329">
        <w:rPr>
          <w:webHidden/>
        </w:rPr>
        <w:t>needs of the NA for the dur</w:t>
      </w:r>
      <w:r w:rsidR="00B15076">
        <w:rPr>
          <w:webHidden/>
        </w:rPr>
        <w:t>ation</w:t>
      </w:r>
      <w:r w:rsidR="00B15076" w:rsidRPr="00D73329">
        <w:rPr>
          <w:webHidden/>
        </w:rPr>
        <w:t xml:space="preserve"> of the neighbourhood plan period</w:t>
      </w:r>
      <w:r>
        <w:rPr>
          <w:webHidden/>
        </w:rPr>
        <w:t>; this exercise will also determine the extent to which the NA’s future size profile differs from that of Babergh as a whole as forecast by the SHMA work summarised above.</w:t>
      </w:r>
      <w:bookmarkStart w:id="107" w:name="_Toc7789752"/>
      <w:bookmarkStart w:id="108" w:name="_Toc606606"/>
      <w:bookmarkStart w:id="109" w:name="_Toc5370477"/>
      <w:bookmarkStart w:id="110" w:name="_Toc7379595"/>
      <w:bookmarkStart w:id="111" w:name="_Toc7789753"/>
      <w:bookmarkEnd w:id="107"/>
      <w:r w:rsidR="001E7776" w:rsidRPr="001E7776">
        <w:t>Household composition and age structure</w:t>
      </w:r>
      <w:bookmarkEnd w:id="108"/>
      <w:bookmarkEnd w:id="109"/>
      <w:bookmarkEnd w:id="110"/>
      <w:bookmarkEnd w:id="111"/>
    </w:p>
    <w:p w14:paraId="3DC36E82" w14:textId="6AE6CD66" w:rsidR="001E7776" w:rsidRPr="006E5E1E" w:rsidRDefault="001E7776" w:rsidP="00D56987">
      <w:pPr>
        <w:pStyle w:val="ListNumber"/>
        <w:jc w:val="both"/>
      </w:pPr>
      <w:r w:rsidRPr="006E5E1E">
        <w:t xml:space="preserve">Having established the current stock profile of </w:t>
      </w:r>
      <w:r w:rsidR="00A61EB3" w:rsidRPr="006E5E1E">
        <w:t>Copdock and Washbrook</w:t>
      </w:r>
      <w:r w:rsidRPr="006E5E1E">
        <w:t xml:space="preserve">, and identified recent changes in its composition, the evidence assembled in this section shows the composition of households both now and how they are likely to change in future years. Through a consideration of the types of households forming, and the mix of age groups, it is possible to </w:t>
      </w:r>
      <w:r w:rsidR="00B15076">
        <w:t>formulate</w:t>
      </w:r>
      <w:r w:rsidRPr="006E5E1E">
        <w:t xml:space="preserve"> recommendations as to how size of housing in </w:t>
      </w:r>
      <w:r w:rsidR="00A61EB3" w:rsidRPr="006E5E1E">
        <w:t>Copdock and Washbrook</w:t>
      </w:r>
      <w:r w:rsidRPr="006E5E1E">
        <w:t xml:space="preserve"> should be influenced by neighbourhood planning policy.</w:t>
      </w:r>
    </w:p>
    <w:p w14:paraId="0D734BD1" w14:textId="77777777" w:rsidR="001E7776" w:rsidRPr="00D56987" w:rsidRDefault="001E7776" w:rsidP="00D56987">
      <w:pPr>
        <w:pStyle w:val="Heading3"/>
        <w:jc w:val="both"/>
      </w:pPr>
      <w:bookmarkStart w:id="112" w:name="_Toc7789754"/>
      <w:r w:rsidRPr="00D56987">
        <w:t>Current Household Composition</w:t>
      </w:r>
      <w:bookmarkEnd w:id="112"/>
    </w:p>
    <w:p w14:paraId="1B305B8F" w14:textId="3362BF09" w:rsidR="001E7776" w:rsidRPr="005508EA" w:rsidRDefault="001E7776" w:rsidP="00D56987">
      <w:pPr>
        <w:pStyle w:val="ListNumber"/>
        <w:jc w:val="both"/>
      </w:pPr>
      <w:r w:rsidRPr="005508EA">
        <w:t xml:space="preserve">Household composition is a </w:t>
      </w:r>
      <w:r w:rsidR="00B15076">
        <w:t xml:space="preserve">critical </w:t>
      </w:r>
      <w:r w:rsidRPr="005508EA">
        <w:t xml:space="preserve">factor driving the size of housing that will be needed in </w:t>
      </w:r>
      <w:r w:rsidR="00A61EB3" w:rsidRPr="005508EA">
        <w:t>Copdock and Washbrook</w:t>
      </w:r>
      <w:r w:rsidRPr="005508EA">
        <w:t xml:space="preserve"> in the future. As of 2011, the NA had 4</w:t>
      </w:r>
      <w:r w:rsidR="005508EA" w:rsidRPr="005508EA">
        <w:t>52</w:t>
      </w:r>
      <w:r w:rsidRPr="005508EA">
        <w:t xml:space="preserve"> households, representing </w:t>
      </w:r>
      <w:r w:rsidR="005508EA" w:rsidRPr="005508EA">
        <w:t>1.2</w:t>
      </w:r>
      <w:r w:rsidRPr="005508EA">
        <w:t>% of the District’s total.</w:t>
      </w:r>
    </w:p>
    <w:p w14:paraId="40DE9AC2" w14:textId="6E479535" w:rsidR="00AB5682" w:rsidRDefault="001E7776" w:rsidP="00D56987">
      <w:pPr>
        <w:pStyle w:val="ListNumber"/>
        <w:jc w:val="both"/>
        <w:rPr>
          <w:webHidden/>
        </w:rPr>
      </w:pPr>
      <w:r w:rsidRPr="00911404">
        <w:rPr>
          <w:webHidden/>
        </w:rPr>
        <w:t xml:space="preserve">In </w:t>
      </w:r>
      <w:r w:rsidRPr="00911404">
        <w:rPr>
          <w:webHidden/>
        </w:rPr>
        <w:fldChar w:fldCharType="begin"/>
      </w:r>
      <w:r w:rsidRPr="00911404">
        <w:rPr>
          <w:webHidden/>
        </w:rPr>
        <w:instrText xml:space="preserve"> REF _Ref523824788 \h  \* MERGEFORMAT </w:instrText>
      </w:r>
      <w:r w:rsidRPr="00911404">
        <w:rPr>
          <w:webHidden/>
        </w:rPr>
      </w:r>
      <w:r w:rsidRPr="00911404">
        <w:rPr>
          <w:webHidden/>
        </w:rPr>
        <w:fldChar w:fldCharType="separate"/>
      </w:r>
      <w:r w:rsidR="004F6699" w:rsidRPr="004F6699">
        <w:t>Table 5</w:t>
      </w:r>
      <w:r w:rsidR="004F6699" w:rsidRPr="004F6699">
        <w:noBreakHyphen/>
        <w:t>6</w:t>
      </w:r>
      <w:r w:rsidRPr="00911404">
        <w:rPr>
          <w:webHidden/>
        </w:rPr>
        <w:fldChar w:fldCharType="end"/>
      </w:r>
      <w:r w:rsidRPr="00911404">
        <w:rPr>
          <w:webHidden/>
        </w:rPr>
        <w:t xml:space="preserve"> below, we present data relating to household composition drawn from Census 2011 in the NA</w:t>
      </w:r>
      <w:r w:rsidR="00911404" w:rsidRPr="00911404">
        <w:rPr>
          <w:webHidden/>
        </w:rPr>
        <w:t>. This shows that household composition between Copdock and Washbrook and Babergh is almost identical. The split between one person and family households is roughly 1:2, in favour of families.</w:t>
      </w:r>
    </w:p>
    <w:p w14:paraId="2566EC28" w14:textId="77777777" w:rsidR="00AB5682" w:rsidRDefault="00AB5682">
      <w:pPr>
        <w:tabs>
          <w:tab w:val="clear" w:pos="284"/>
        </w:tabs>
        <w:spacing w:line="240" w:lineRule="auto"/>
        <w:rPr>
          <w:webHidden/>
          <w:lang w:val="en-US"/>
        </w:rPr>
      </w:pPr>
      <w:r>
        <w:rPr>
          <w:webHidden/>
        </w:rPr>
        <w:br w:type="page"/>
      </w:r>
    </w:p>
    <w:p w14:paraId="78111CF5" w14:textId="11987C83" w:rsidR="001E7776" w:rsidRPr="001E7776" w:rsidRDefault="001E7776" w:rsidP="001E7776">
      <w:pPr>
        <w:keepNext/>
        <w:spacing w:after="120"/>
        <w:ind w:left="425"/>
        <w:rPr>
          <w:rFonts w:asciiTheme="majorHAnsi" w:hAnsiTheme="majorHAnsi"/>
          <w:b/>
          <w:bCs/>
          <w:color w:val="00B5E2" w:themeColor="accent1"/>
          <w:sz w:val="20"/>
        </w:rPr>
      </w:pPr>
      <w:bookmarkStart w:id="113" w:name="_Ref523824788"/>
      <w:r w:rsidRPr="001E7776">
        <w:rPr>
          <w:rFonts w:asciiTheme="majorHAnsi" w:hAnsiTheme="majorHAnsi"/>
          <w:b/>
          <w:bCs/>
          <w:color w:val="00B5E2" w:themeColor="accent1"/>
          <w:sz w:val="20"/>
        </w:rPr>
        <w:lastRenderedPageBreak/>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6</w:t>
      </w:r>
      <w:r w:rsidRPr="001E7776">
        <w:rPr>
          <w:rFonts w:asciiTheme="majorHAnsi" w:hAnsiTheme="majorHAnsi"/>
          <w:b/>
          <w:bCs/>
          <w:noProof/>
          <w:color w:val="00B5E2" w:themeColor="accent1"/>
          <w:sz w:val="20"/>
        </w:rPr>
        <w:fldChar w:fldCharType="end"/>
      </w:r>
      <w:bookmarkEnd w:id="113"/>
      <w:r w:rsidRPr="001E7776">
        <w:rPr>
          <w:rFonts w:asciiTheme="majorHAnsi" w:hAnsiTheme="majorHAnsi"/>
          <w:b/>
          <w:bCs/>
          <w:color w:val="00B5E2" w:themeColor="accent1"/>
          <w:sz w:val="20"/>
        </w:rPr>
        <w:t xml:space="preserve">: Household composition (by household)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2011</w:t>
      </w:r>
    </w:p>
    <w:tbl>
      <w:tblPr>
        <w:tblpPr w:leftFromText="180" w:rightFromText="180" w:vertAnchor="text" w:horzAnchor="margin" w:tblpX="483" w:tblpY="38"/>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937"/>
        <w:gridCol w:w="2968"/>
        <w:gridCol w:w="2278"/>
        <w:gridCol w:w="1422"/>
        <w:gridCol w:w="824"/>
      </w:tblGrid>
      <w:tr w:rsidR="001E7776" w:rsidRPr="001E7776" w14:paraId="70ADE819" w14:textId="77777777" w:rsidTr="00A61EB3">
        <w:trPr>
          <w:trHeight w:val="288"/>
        </w:trPr>
        <w:tc>
          <w:tcPr>
            <w:tcW w:w="1027" w:type="pct"/>
            <w:shd w:val="clear" w:color="auto" w:fill="000000"/>
            <w:noWrap/>
            <w:hideMark/>
          </w:tcPr>
          <w:p w14:paraId="4390D844" w14:textId="77777777" w:rsidR="001E7776" w:rsidRPr="001E7776" w:rsidRDefault="001E7776" w:rsidP="001E7776"/>
        </w:tc>
        <w:tc>
          <w:tcPr>
            <w:tcW w:w="1574" w:type="pct"/>
            <w:shd w:val="clear" w:color="auto" w:fill="000000"/>
            <w:noWrap/>
            <w:hideMark/>
          </w:tcPr>
          <w:p w14:paraId="26C58CE2" w14:textId="77777777" w:rsidR="001E7776" w:rsidRPr="001E7776" w:rsidRDefault="001E7776" w:rsidP="001E7776">
            <w:pPr>
              <w:rPr>
                <w:b/>
                <w:color w:val="FFFFFF"/>
              </w:rPr>
            </w:pPr>
          </w:p>
        </w:tc>
        <w:tc>
          <w:tcPr>
            <w:tcW w:w="1208" w:type="pct"/>
            <w:shd w:val="clear" w:color="auto" w:fill="000000"/>
            <w:noWrap/>
            <w:hideMark/>
          </w:tcPr>
          <w:p w14:paraId="03BA8E53" w14:textId="245804D2" w:rsidR="001E7776" w:rsidRPr="001E7776" w:rsidRDefault="00A61EB3" w:rsidP="001E7776">
            <w:pPr>
              <w:rPr>
                <w:rFonts w:cs="Arial"/>
                <w:b/>
                <w:color w:val="FFFFFF"/>
              </w:rPr>
            </w:pPr>
            <w:r>
              <w:rPr>
                <w:rFonts w:cs="Arial"/>
                <w:b/>
                <w:bCs/>
                <w:color w:val="FFFFFF"/>
              </w:rPr>
              <w:t>Copdock and Washbrook</w:t>
            </w:r>
          </w:p>
        </w:tc>
        <w:tc>
          <w:tcPr>
            <w:tcW w:w="754" w:type="pct"/>
            <w:shd w:val="clear" w:color="auto" w:fill="000000"/>
            <w:noWrap/>
            <w:hideMark/>
          </w:tcPr>
          <w:p w14:paraId="26F2BFED" w14:textId="017D1525" w:rsidR="001E7776" w:rsidRPr="001E7776" w:rsidRDefault="00A61EB3" w:rsidP="001E7776">
            <w:pPr>
              <w:rPr>
                <w:rFonts w:cs="Arial"/>
                <w:b/>
                <w:color w:val="FFFFFF"/>
              </w:rPr>
            </w:pPr>
            <w:r>
              <w:rPr>
                <w:rFonts w:cs="Arial"/>
                <w:b/>
                <w:bCs/>
                <w:color w:val="FFFFFF"/>
              </w:rPr>
              <w:t>Babergh</w:t>
            </w:r>
          </w:p>
        </w:tc>
        <w:tc>
          <w:tcPr>
            <w:tcW w:w="437" w:type="pct"/>
            <w:shd w:val="clear" w:color="auto" w:fill="000000"/>
            <w:noWrap/>
            <w:hideMark/>
          </w:tcPr>
          <w:p w14:paraId="49B99C4C" w14:textId="77777777" w:rsidR="001E7776" w:rsidRPr="001E7776" w:rsidRDefault="001E7776" w:rsidP="001E7776">
            <w:pPr>
              <w:rPr>
                <w:rFonts w:cs="Arial"/>
                <w:b/>
                <w:color w:val="FFFFFF"/>
              </w:rPr>
            </w:pPr>
            <w:r w:rsidRPr="001E7776">
              <w:rPr>
                <w:rFonts w:cs="Arial"/>
                <w:b/>
                <w:bCs/>
                <w:color w:val="FFFFFF"/>
              </w:rPr>
              <w:t>England</w:t>
            </w:r>
          </w:p>
        </w:tc>
      </w:tr>
      <w:tr w:rsidR="00A61EB3" w:rsidRPr="001E7776" w14:paraId="3FC8A191" w14:textId="77777777" w:rsidTr="00A61EB3">
        <w:trPr>
          <w:trHeight w:val="288"/>
        </w:trPr>
        <w:tc>
          <w:tcPr>
            <w:tcW w:w="1027" w:type="pct"/>
            <w:shd w:val="clear" w:color="auto" w:fill="auto"/>
            <w:noWrap/>
            <w:hideMark/>
          </w:tcPr>
          <w:p w14:paraId="5AADF4C7" w14:textId="77777777" w:rsidR="00A61EB3" w:rsidRPr="001E7776" w:rsidRDefault="00A61EB3" w:rsidP="00A61EB3">
            <w:r w:rsidRPr="001E7776">
              <w:t>One person household</w:t>
            </w:r>
          </w:p>
        </w:tc>
        <w:tc>
          <w:tcPr>
            <w:tcW w:w="1574" w:type="pct"/>
            <w:shd w:val="clear" w:color="auto" w:fill="auto"/>
            <w:noWrap/>
            <w:hideMark/>
          </w:tcPr>
          <w:p w14:paraId="5E944D22" w14:textId="77777777" w:rsidR="00A61EB3" w:rsidRPr="001E7776" w:rsidRDefault="00A61EB3" w:rsidP="00A61EB3">
            <w:pPr>
              <w:rPr>
                <w:b/>
              </w:rPr>
            </w:pPr>
            <w:r w:rsidRPr="001E7776">
              <w:rPr>
                <w:b/>
              </w:rPr>
              <w:t>Total</w:t>
            </w:r>
          </w:p>
        </w:tc>
        <w:tc>
          <w:tcPr>
            <w:tcW w:w="1208" w:type="pct"/>
            <w:tcBorders>
              <w:top w:val="nil"/>
              <w:left w:val="nil"/>
              <w:bottom w:val="single" w:sz="4" w:space="0" w:color="auto"/>
              <w:right w:val="single" w:sz="4" w:space="0" w:color="auto"/>
            </w:tcBorders>
            <w:shd w:val="clear" w:color="auto" w:fill="auto"/>
            <w:noWrap/>
            <w:hideMark/>
          </w:tcPr>
          <w:p w14:paraId="7A5FFF31" w14:textId="22DE1007" w:rsidR="00A61EB3" w:rsidRPr="001E7776" w:rsidRDefault="00A61EB3" w:rsidP="00A61EB3">
            <w:r w:rsidRPr="00257F31">
              <w:t>27.2%</w:t>
            </w:r>
          </w:p>
        </w:tc>
        <w:tc>
          <w:tcPr>
            <w:tcW w:w="754" w:type="pct"/>
            <w:tcBorders>
              <w:top w:val="nil"/>
              <w:left w:val="single" w:sz="4" w:space="0" w:color="auto"/>
              <w:bottom w:val="single" w:sz="4" w:space="0" w:color="auto"/>
              <w:right w:val="nil"/>
            </w:tcBorders>
            <w:shd w:val="clear" w:color="auto" w:fill="auto"/>
            <w:noWrap/>
            <w:hideMark/>
          </w:tcPr>
          <w:p w14:paraId="4FCE05F1" w14:textId="3C6079DC" w:rsidR="00A61EB3" w:rsidRPr="001E7776" w:rsidRDefault="00A61EB3" w:rsidP="00A61EB3">
            <w:r w:rsidRPr="00257F31">
              <w:t>28.2%</w:t>
            </w:r>
          </w:p>
        </w:tc>
        <w:tc>
          <w:tcPr>
            <w:tcW w:w="437" w:type="pct"/>
            <w:shd w:val="clear" w:color="auto" w:fill="auto"/>
            <w:noWrap/>
            <w:hideMark/>
          </w:tcPr>
          <w:p w14:paraId="2DC6D43B" w14:textId="77777777" w:rsidR="00A61EB3" w:rsidRPr="001E7776" w:rsidRDefault="00A61EB3" w:rsidP="00A61EB3">
            <w:pPr>
              <w:rPr>
                <w:rFonts w:cs="Arial"/>
              </w:rPr>
            </w:pPr>
            <w:r w:rsidRPr="001E7776">
              <w:rPr>
                <w:rFonts w:cs="Arial"/>
                <w:color w:val="000000"/>
              </w:rPr>
              <w:t>30.2%</w:t>
            </w:r>
          </w:p>
        </w:tc>
      </w:tr>
      <w:tr w:rsidR="00A61EB3" w:rsidRPr="001E7776" w14:paraId="6B089D59" w14:textId="77777777" w:rsidTr="00A61EB3">
        <w:trPr>
          <w:trHeight w:val="288"/>
        </w:trPr>
        <w:tc>
          <w:tcPr>
            <w:tcW w:w="1027" w:type="pct"/>
            <w:shd w:val="clear" w:color="auto" w:fill="auto"/>
            <w:noWrap/>
            <w:hideMark/>
          </w:tcPr>
          <w:p w14:paraId="0EEB121E" w14:textId="77777777" w:rsidR="00A61EB3" w:rsidRPr="001E7776" w:rsidRDefault="00A61EB3" w:rsidP="00A61EB3"/>
        </w:tc>
        <w:tc>
          <w:tcPr>
            <w:tcW w:w="1574" w:type="pct"/>
            <w:shd w:val="clear" w:color="auto" w:fill="auto"/>
            <w:noWrap/>
            <w:hideMark/>
          </w:tcPr>
          <w:p w14:paraId="6B22C597" w14:textId="77777777" w:rsidR="00A61EB3" w:rsidRPr="001E7776" w:rsidRDefault="00A61EB3" w:rsidP="00A61EB3">
            <w:r w:rsidRPr="001E7776">
              <w:t>Aged 65 and over</w:t>
            </w:r>
          </w:p>
        </w:tc>
        <w:tc>
          <w:tcPr>
            <w:tcW w:w="1208" w:type="pct"/>
            <w:tcBorders>
              <w:top w:val="single" w:sz="4" w:space="0" w:color="auto"/>
              <w:left w:val="nil"/>
              <w:bottom w:val="single" w:sz="4" w:space="0" w:color="auto"/>
              <w:right w:val="single" w:sz="4" w:space="0" w:color="auto"/>
            </w:tcBorders>
            <w:shd w:val="clear" w:color="auto" w:fill="auto"/>
            <w:noWrap/>
            <w:hideMark/>
          </w:tcPr>
          <w:p w14:paraId="300310A4" w14:textId="2DE66FAA" w:rsidR="00A61EB3" w:rsidRPr="001E7776" w:rsidRDefault="00A61EB3" w:rsidP="00A61EB3">
            <w:r w:rsidRPr="00257F31">
              <w:t>13.7%</w:t>
            </w:r>
          </w:p>
        </w:tc>
        <w:tc>
          <w:tcPr>
            <w:tcW w:w="754" w:type="pct"/>
            <w:tcBorders>
              <w:top w:val="single" w:sz="4" w:space="0" w:color="auto"/>
              <w:left w:val="single" w:sz="4" w:space="0" w:color="auto"/>
              <w:bottom w:val="single" w:sz="4" w:space="0" w:color="auto"/>
              <w:right w:val="nil"/>
            </w:tcBorders>
            <w:shd w:val="clear" w:color="auto" w:fill="auto"/>
            <w:noWrap/>
            <w:hideMark/>
          </w:tcPr>
          <w:p w14:paraId="00A234E1" w14:textId="1EC1611E" w:rsidR="00A61EB3" w:rsidRPr="001E7776" w:rsidRDefault="00A61EB3" w:rsidP="00A61EB3">
            <w:r w:rsidRPr="00257F31">
              <w:t>14.1%</w:t>
            </w:r>
          </w:p>
        </w:tc>
        <w:tc>
          <w:tcPr>
            <w:tcW w:w="437" w:type="pct"/>
            <w:shd w:val="clear" w:color="auto" w:fill="auto"/>
            <w:noWrap/>
            <w:hideMark/>
          </w:tcPr>
          <w:p w14:paraId="69D35249" w14:textId="77777777" w:rsidR="00A61EB3" w:rsidRPr="001E7776" w:rsidRDefault="00A61EB3" w:rsidP="00A61EB3">
            <w:pPr>
              <w:rPr>
                <w:rFonts w:cs="Arial"/>
              </w:rPr>
            </w:pPr>
            <w:r w:rsidRPr="001E7776">
              <w:rPr>
                <w:rFonts w:cs="Arial"/>
                <w:color w:val="000000"/>
              </w:rPr>
              <w:t>12.4%</w:t>
            </w:r>
          </w:p>
        </w:tc>
      </w:tr>
      <w:tr w:rsidR="00A61EB3" w:rsidRPr="001E7776" w14:paraId="79792BD1" w14:textId="77777777" w:rsidTr="00A61EB3">
        <w:trPr>
          <w:trHeight w:val="288"/>
        </w:trPr>
        <w:tc>
          <w:tcPr>
            <w:tcW w:w="1027" w:type="pct"/>
            <w:shd w:val="clear" w:color="auto" w:fill="auto"/>
            <w:noWrap/>
            <w:hideMark/>
          </w:tcPr>
          <w:p w14:paraId="44895B0A" w14:textId="77777777" w:rsidR="00A61EB3" w:rsidRPr="001E7776" w:rsidRDefault="00A61EB3" w:rsidP="00A61EB3"/>
        </w:tc>
        <w:tc>
          <w:tcPr>
            <w:tcW w:w="1574" w:type="pct"/>
            <w:shd w:val="clear" w:color="auto" w:fill="auto"/>
            <w:noWrap/>
            <w:hideMark/>
          </w:tcPr>
          <w:p w14:paraId="64766446" w14:textId="77777777" w:rsidR="00A61EB3" w:rsidRPr="001E7776" w:rsidRDefault="00A61EB3" w:rsidP="00A61EB3">
            <w:r w:rsidRPr="001E7776">
              <w:t>Other</w:t>
            </w:r>
          </w:p>
        </w:tc>
        <w:tc>
          <w:tcPr>
            <w:tcW w:w="1208" w:type="pct"/>
            <w:tcBorders>
              <w:top w:val="single" w:sz="4" w:space="0" w:color="auto"/>
              <w:left w:val="nil"/>
              <w:bottom w:val="single" w:sz="4" w:space="0" w:color="auto"/>
              <w:right w:val="single" w:sz="4" w:space="0" w:color="auto"/>
            </w:tcBorders>
            <w:shd w:val="clear" w:color="auto" w:fill="auto"/>
            <w:noWrap/>
            <w:hideMark/>
          </w:tcPr>
          <w:p w14:paraId="2CF1C2DF" w14:textId="479A4326" w:rsidR="00A61EB3" w:rsidRPr="001E7776" w:rsidRDefault="00A61EB3" w:rsidP="00A61EB3">
            <w:r w:rsidRPr="00257F31">
              <w:t>13.5%</w:t>
            </w:r>
          </w:p>
        </w:tc>
        <w:tc>
          <w:tcPr>
            <w:tcW w:w="754" w:type="pct"/>
            <w:tcBorders>
              <w:top w:val="single" w:sz="4" w:space="0" w:color="auto"/>
              <w:left w:val="single" w:sz="4" w:space="0" w:color="auto"/>
              <w:bottom w:val="single" w:sz="4" w:space="0" w:color="auto"/>
              <w:right w:val="nil"/>
            </w:tcBorders>
            <w:shd w:val="clear" w:color="auto" w:fill="auto"/>
            <w:noWrap/>
            <w:hideMark/>
          </w:tcPr>
          <w:p w14:paraId="51CDBF00" w14:textId="4C080F5E" w:rsidR="00A61EB3" w:rsidRPr="001E7776" w:rsidRDefault="00A61EB3" w:rsidP="00A61EB3">
            <w:r w:rsidRPr="00257F31">
              <w:t>14.0%</w:t>
            </w:r>
          </w:p>
        </w:tc>
        <w:tc>
          <w:tcPr>
            <w:tcW w:w="437" w:type="pct"/>
            <w:shd w:val="clear" w:color="auto" w:fill="auto"/>
            <w:noWrap/>
            <w:hideMark/>
          </w:tcPr>
          <w:p w14:paraId="5D25429B" w14:textId="77777777" w:rsidR="00A61EB3" w:rsidRPr="001E7776" w:rsidRDefault="00A61EB3" w:rsidP="00A61EB3">
            <w:pPr>
              <w:rPr>
                <w:rFonts w:cs="Arial"/>
              </w:rPr>
            </w:pPr>
            <w:r w:rsidRPr="001E7776">
              <w:rPr>
                <w:rFonts w:cs="Arial"/>
                <w:color w:val="000000"/>
              </w:rPr>
              <w:t>17.9%</w:t>
            </w:r>
          </w:p>
        </w:tc>
      </w:tr>
      <w:tr w:rsidR="00A61EB3" w:rsidRPr="001E7776" w14:paraId="53CA09A4" w14:textId="77777777" w:rsidTr="00A61EB3">
        <w:trPr>
          <w:trHeight w:val="288"/>
        </w:trPr>
        <w:tc>
          <w:tcPr>
            <w:tcW w:w="1027" w:type="pct"/>
            <w:shd w:val="clear" w:color="auto" w:fill="auto"/>
            <w:noWrap/>
            <w:hideMark/>
          </w:tcPr>
          <w:p w14:paraId="3892E644" w14:textId="77777777" w:rsidR="00A61EB3" w:rsidRPr="001E7776" w:rsidRDefault="00A61EB3" w:rsidP="00A61EB3">
            <w:r w:rsidRPr="001E7776">
              <w:t>One family only</w:t>
            </w:r>
          </w:p>
        </w:tc>
        <w:tc>
          <w:tcPr>
            <w:tcW w:w="1574" w:type="pct"/>
            <w:shd w:val="clear" w:color="auto" w:fill="auto"/>
            <w:noWrap/>
            <w:hideMark/>
          </w:tcPr>
          <w:p w14:paraId="7698838F" w14:textId="77777777" w:rsidR="00A61EB3" w:rsidRPr="001E7776" w:rsidRDefault="00A61EB3" w:rsidP="00A61EB3">
            <w:pPr>
              <w:rPr>
                <w:b/>
              </w:rPr>
            </w:pPr>
            <w:r w:rsidRPr="001E7776">
              <w:rPr>
                <w:b/>
              </w:rPr>
              <w:t>Total</w:t>
            </w:r>
          </w:p>
        </w:tc>
        <w:tc>
          <w:tcPr>
            <w:tcW w:w="1208" w:type="pct"/>
            <w:tcBorders>
              <w:top w:val="single" w:sz="4" w:space="0" w:color="auto"/>
              <w:left w:val="nil"/>
              <w:bottom w:val="single" w:sz="4" w:space="0" w:color="auto"/>
              <w:right w:val="single" w:sz="4" w:space="0" w:color="auto"/>
            </w:tcBorders>
            <w:shd w:val="clear" w:color="auto" w:fill="auto"/>
            <w:noWrap/>
            <w:hideMark/>
          </w:tcPr>
          <w:p w14:paraId="53FC0261" w14:textId="4CCD73B3" w:rsidR="00A61EB3" w:rsidRPr="001E7776" w:rsidRDefault="00A61EB3" w:rsidP="00A61EB3">
            <w:r w:rsidRPr="00257F31">
              <w:t>66.4%</w:t>
            </w:r>
          </w:p>
        </w:tc>
        <w:tc>
          <w:tcPr>
            <w:tcW w:w="754" w:type="pct"/>
            <w:tcBorders>
              <w:top w:val="single" w:sz="4" w:space="0" w:color="auto"/>
              <w:left w:val="single" w:sz="4" w:space="0" w:color="auto"/>
              <w:bottom w:val="single" w:sz="4" w:space="0" w:color="auto"/>
              <w:right w:val="nil"/>
            </w:tcBorders>
            <w:shd w:val="clear" w:color="auto" w:fill="auto"/>
            <w:noWrap/>
            <w:hideMark/>
          </w:tcPr>
          <w:p w14:paraId="05F41FC7" w14:textId="236FE7AB" w:rsidR="00A61EB3" w:rsidRPr="001E7776" w:rsidRDefault="00A61EB3" w:rsidP="00A61EB3">
            <w:r w:rsidRPr="00257F31">
              <w:t>67.8%</w:t>
            </w:r>
          </w:p>
        </w:tc>
        <w:tc>
          <w:tcPr>
            <w:tcW w:w="437" w:type="pct"/>
            <w:shd w:val="clear" w:color="auto" w:fill="auto"/>
            <w:noWrap/>
            <w:hideMark/>
          </w:tcPr>
          <w:p w14:paraId="0173D549" w14:textId="77777777" w:rsidR="00A61EB3" w:rsidRPr="001E7776" w:rsidRDefault="00A61EB3" w:rsidP="00A61EB3">
            <w:pPr>
              <w:rPr>
                <w:rFonts w:cs="Arial"/>
              </w:rPr>
            </w:pPr>
            <w:r w:rsidRPr="001E7776">
              <w:rPr>
                <w:rFonts w:cs="Arial"/>
                <w:color w:val="000000"/>
              </w:rPr>
              <w:t>61.8%</w:t>
            </w:r>
          </w:p>
        </w:tc>
      </w:tr>
      <w:tr w:rsidR="00A61EB3" w:rsidRPr="001E7776" w14:paraId="103EF62F" w14:textId="77777777" w:rsidTr="00A61EB3">
        <w:trPr>
          <w:trHeight w:val="288"/>
        </w:trPr>
        <w:tc>
          <w:tcPr>
            <w:tcW w:w="1027" w:type="pct"/>
            <w:shd w:val="clear" w:color="auto" w:fill="auto"/>
            <w:noWrap/>
            <w:hideMark/>
          </w:tcPr>
          <w:p w14:paraId="08E0B44C" w14:textId="77777777" w:rsidR="00A61EB3" w:rsidRPr="001E7776" w:rsidRDefault="00A61EB3" w:rsidP="00A61EB3"/>
        </w:tc>
        <w:tc>
          <w:tcPr>
            <w:tcW w:w="1574" w:type="pct"/>
            <w:shd w:val="clear" w:color="auto" w:fill="auto"/>
            <w:noWrap/>
            <w:hideMark/>
          </w:tcPr>
          <w:p w14:paraId="2F716CC6" w14:textId="77777777" w:rsidR="00A61EB3" w:rsidRPr="001E7776" w:rsidRDefault="00A61EB3" w:rsidP="00A61EB3">
            <w:r w:rsidRPr="001E7776">
              <w:t>All aged 65 and over</w:t>
            </w:r>
          </w:p>
        </w:tc>
        <w:tc>
          <w:tcPr>
            <w:tcW w:w="1208" w:type="pct"/>
            <w:tcBorders>
              <w:top w:val="single" w:sz="4" w:space="0" w:color="auto"/>
              <w:left w:val="nil"/>
              <w:bottom w:val="single" w:sz="4" w:space="0" w:color="auto"/>
              <w:right w:val="single" w:sz="4" w:space="0" w:color="auto"/>
            </w:tcBorders>
            <w:shd w:val="clear" w:color="auto" w:fill="auto"/>
            <w:noWrap/>
            <w:hideMark/>
          </w:tcPr>
          <w:p w14:paraId="2D66C55E" w14:textId="7521EA37" w:rsidR="00A61EB3" w:rsidRPr="001E7776" w:rsidRDefault="00A61EB3" w:rsidP="00A61EB3">
            <w:r w:rsidRPr="00257F31">
              <w:t>11.1%</w:t>
            </w:r>
          </w:p>
        </w:tc>
        <w:tc>
          <w:tcPr>
            <w:tcW w:w="754" w:type="pct"/>
            <w:tcBorders>
              <w:top w:val="single" w:sz="4" w:space="0" w:color="auto"/>
              <w:left w:val="single" w:sz="4" w:space="0" w:color="auto"/>
              <w:bottom w:val="single" w:sz="4" w:space="0" w:color="auto"/>
              <w:right w:val="nil"/>
            </w:tcBorders>
            <w:shd w:val="clear" w:color="auto" w:fill="auto"/>
            <w:noWrap/>
            <w:hideMark/>
          </w:tcPr>
          <w:p w14:paraId="5AAE6E08" w14:textId="2CB1D758" w:rsidR="00A61EB3" w:rsidRPr="001E7776" w:rsidRDefault="00A61EB3" w:rsidP="00A61EB3">
            <w:r w:rsidRPr="00257F31">
              <w:t>11.7%</w:t>
            </w:r>
          </w:p>
        </w:tc>
        <w:tc>
          <w:tcPr>
            <w:tcW w:w="437" w:type="pct"/>
            <w:shd w:val="clear" w:color="auto" w:fill="auto"/>
            <w:noWrap/>
            <w:hideMark/>
          </w:tcPr>
          <w:p w14:paraId="70BFFC4C" w14:textId="77777777" w:rsidR="00A61EB3" w:rsidRPr="001E7776" w:rsidRDefault="00A61EB3" w:rsidP="00A61EB3">
            <w:pPr>
              <w:rPr>
                <w:rFonts w:cs="Arial"/>
              </w:rPr>
            </w:pPr>
            <w:r w:rsidRPr="001E7776">
              <w:rPr>
                <w:rFonts w:cs="Arial"/>
                <w:color w:val="000000"/>
              </w:rPr>
              <w:t>8.1%</w:t>
            </w:r>
          </w:p>
        </w:tc>
      </w:tr>
      <w:tr w:rsidR="00A61EB3" w:rsidRPr="001E7776" w14:paraId="19C540B1" w14:textId="77777777" w:rsidTr="00A61EB3">
        <w:trPr>
          <w:trHeight w:val="288"/>
        </w:trPr>
        <w:tc>
          <w:tcPr>
            <w:tcW w:w="1027" w:type="pct"/>
            <w:shd w:val="clear" w:color="auto" w:fill="auto"/>
            <w:noWrap/>
            <w:hideMark/>
          </w:tcPr>
          <w:p w14:paraId="5A77253E" w14:textId="77777777" w:rsidR="00A61EB3" w:rsidRPr="001E7776" w:rsidRDefault="00A61EB3" w:rsidP="00A61EB3"/>
        </w:tc>
        <w:tc>
          <w:tcPr>
            <w:tcW w:w="1574" w:type="pct"/>
            <w:shd w:val="clear" w:color="auto" w:fill="auto"/>
            <w:noWrap/>
            <w:hideMark/>
          </w:tcPr>
          <w:p w14:paraId="27DC8FE5" w14:textId="77777777" w:rsidR="00A61EB3" w:rsidRPr="001E7776" w:rsidRDefault="00A61EB3" w:rsidP="00A61EB3">
            <w:r w:rsidRPr="001E7776">
              <w:t>With no children</w:t>
            </w:r>
          </w:p>
        </w:tc>
        <w:tc>
          <w:tcPr>
            <w:tcW w:w="1208" w:type="pct"/>
            <w:tcBorders>
              <w:top w:val="single" w:sz="4" w:space="0" w:color="auto"/>
              <w:left w:val="nil"/>
              <w:bottom w:val="single" w:sz="4" w:space="0" w:color="auto"/>
              <w:right w:val="single" w:sz="4" w:space="0" w:color="auto"/>
            </w:tcBorders>
            <w:shd w:val="clear" w:color="auto" w:fill="auto"/>
            <w:noWrap/>
            <w:hideMark/>
          </w:tcPr>
          <w:p w14:paraId="53890BE6" w14:textId="1ABBE8BF" w:rsidR="00A61EB3" w:rsidRPr="001E7776" w:rsidRDefault="00A61EB3" w:rsidP="00A61EB3">
            <w:r w:rsidRPr="00257F31">
              <w:t>19.5%</w:t>
            </w:r>
          </w:p>
        </w:tc>
        <w:tc>
          <w:tcPr>
            <w:tcW w:w="754" w:type="pct"/>
            <w:tcBorders>
              <w:top w:val="single" w:sz="4" w:space="0" w:color="auto"/>
              <w:left w:val="single" w:sz="4" w:space="0" w:color="auto"/>
              <w:bottom w:val="single" w:sz="4" w:space="0" w:color="auto"/>
              <w:right w:val="nil"/>
            </w:tcBorders>
            <w:shd w:val="clear" w:color="auto" w:fill="auto"/>
            <w:noWrap/>
            <w:hideMark/>
          </w:tcPr>
          <w:p w14:paraId="4B9A49E0" w14:textId="6FCB4CCD" w:rsidR="00A61EB3" w:rsidRPr="001E7776" w:rsidRDefault="00A61EB3" w:rsidP="00A61EB3">
            <w:r w:rsidRPr="00257F31">
              <w:t>21.6%</w:t>
            </w:r>
          </w:p>
        </w:tc>
        <w:tc>
          <w:tcPr>
            <w:tcW w:w="437" w:type="pct"/>
            <w:shd w:val="clear" w:color="auto" w:fill="auto"/>
            <w:noWrap/>
            <w:hideMark/>
          </w:tcPr>
          <w:p w14:paraId="7910EF9D" w14:textId="77777777" w:rsidR="00A61EB3" w:rsidRPr="001E7776" w:rsidRDefault="00A61EB3" w:rsidP="00A61EB3">
            <w:pPr>
              <w:rPr>
                <w:rFonts w:cs="Arial"/>
              </w:rPr>
            </w:pPr>
            <w:r w:rsidRPr="001E7776">
              <w:rPr>
                <w:rFonts w:cs="Arial"/>
                <w:color w:val="000000"/>
              </w:rPr>
              <w:t>17.6%</w:t>
            </w:r>
          </w:p>
        </w:tc>
      </w:tr>
      <w:tr w:rsidR="00A61EB3" w:rsidRPr="001E7776" w14:paraId="2543F959" w14:textId="77777777" w:rsidTr="00A61EB3">
        <w:trPr>
          <w:trHeight w:val="288"/>
        </w:trPr>
        <w:tc>
          <w:tcPr>
            <w:tcW w:w="1027" w:type="pct"/>
            <w:shd w:val="clear" w:color="auto" w:fill="auto"/>
            <w:noWrap/>
            <w:hideMark/>
          </w:tcPr>
          <w:p w14:paraId="3F4F7415" w14:textId="77777777" w:rsidR="00A61EB3" w:rsidRPr="001E7776" w:rsidRDefault="00A61EB3" w:rsidP="00A61EB3"/>
        </w:tc>
        <w:tc>
          <w:tcPr>
            <w:tcW w:w="1574" w:type="pct"/>
            <w:shd w:val="clear" w:color="auto" w:fill="auto"/>
            <w:noWrap/>
            <w:hideMark/>
          </w:tcPr>
          <w:p w14:paraId="662522CB" w14:textId="77777777" w:rsidR="00A61EB3" w:rsidRPr="001E7776" w:rsidRDefault="00A61EB3" w:rsidP="00A61EB3">
            <w:r w:rsidRPr="001E7776">
              <w:t>With dependent children</w:t>
            </w:r>
          </w:p>
        </w:tc>
        <w:tc>
          <w:tcPr>
            <w:tcW w:w="1208" w:type="pct"/>
            <w:tcBorders>
              <w:top w:val="single" w:sz="4" w:space="0" w:color="auto"/>
              <w:left w:val="nil"/>
              <w:bottom w:val="single" w:sz="4" w:space="0" w:color="auto"/>
              <w:right w:val="single" w:sz="4" w:space="0" w:color="auto"/>
            </w:tcBorders>
            <w:shd w:val="clear" w:color="auto" w:fill="auto"/>
            <w:noWrap/>
            <w:hideMark/>
          </w:tcPr>
          <w:p w14:paraId="39B4A56E" w14:textId="0824AD42" w:rsidR="00A61EB3" w:rsidRPr="001E7776" w:rsidRDefault="00A61EB3" w:rsidP="00A61EB3">
            <w:r w:rsidRPr="00257F31">
              <w:t>25.2%</w:t>
            </w:r>
          </w:p>
        </w:tc>
        <w:tc>
          <w:tcPr>
            <w:tcW w:w="754" w:type="pct"/>
            <w:tcBorders>
              <w:top w:val="single" w:sz="4" w:space="0" w:color="auto"/>
              <w:left w:val="single" w:sz="4" w:space="0" w:color="auto"/>
              <w:bottom w:val="single" w:sz="4" w:space="0" w:color="auto"/>
              <w:right w:val="nil"/>
            </w:tcBorders>
            <w:shd w:val="clear" w:color="auto" w:fill="auto"/>
            <w:noWrap/>
            <w:hideMark/>
          </w:tcPr>
          <w:p w14:paraId="623B4513" w14:textId="57B50A26" w:rsidR="00A61EB3" w:rsidRPr="001E7776" w:rsidRDefault="00A61EB3" w:rsidP="00A61EB3">
            <w:r w:rsidRPr="00257F31">
              <w:t>25.2%</w:t>
            </w:r>
          </w:p>
        </w:tc>
        <w:tc>
          <w:tcPr>
            <w:tcW w:w="437" w:type="pct"/>
            <w:shd w:val="clear" w:color="auto" w:fill="auto"/>
            <w:noWrap/>
            <w:hideMark/>
          </w:tcPr>
          <w:p w14:paraId="16D5DB1F" w14:textId="77777777" w:rsidR="00A61EB3" w:rsidRPr="001E7776" w:rsidRDefault="00A61EB3" w:rsidP="00A61EB3">
            <w:pPr>
              <w:rPr>
                <w:rFonts w:cs="Arial"/>
              </w:rPr>
            </w:pPr>
            <w:r w:rsidRPr="001E7776">
              <w:rPr>
                <w:rFonts w:cs="Arial"/>
                <w:color w:val="000000"/>
              </w:rPr>
              <w:t>26.5%</w:t>
            </w:r>
          </w:p>
        </w:tc>
      </w:tr>
      <w:tr w:rsidR="00A61EB3" w:rsidRPr="001E7776" w14:paraId="78FBA97F" w14:textId="77777777" w:rsidTr="00A61EB3">
        <w:trPr>
          <w:trHeight w:val="288"/>
        </w:trPr>
        <w:tc>
          <w:tcPr>
            <w:tcW w:w="1027" w:type="pct"/>
            <w:shd w:val="clear" w:color="auto" w:fill="auto"/>
            <w:noWrap/>
            <w:hideMark/>
          </w:tcPr>
          <w:p w14:paraId="3BC190F1" w14:textId="77777777" w:rsidR="00A61EB3" w:rsidRPr="001E7776" w:rsidRDefault="00A61EB3" w:rsidP="00A61EB3"/>
        </w:tc>
        <w:tc>
          <w:tcPr>
            <w:tcW w:w="1574" w:type="pct"/>
            <w:shd w:val="clear" w:color="auto" w:fill="auto"/>
            <w:noWrap/>
            <w:hideMark/>
          </w:tcPr>
          <w:p w14:paraId="0BE23D94" w14:textId="77777777" w:rsidR="00A61EB3" w:rsidRPr="001E7776" w:rsidRDefault="00A61EB3" w:rsidP="00A61EB3">
            <w:r w:rsidRPr="001E7776">
              <w:t>All children Non-Dependent</w:t>
            </w:r>
          </w:p>
        </w:tc>
        <w:tc>
          <w:tcPr>
            <w:tcW w:w="1208" w:type="pct"/>
            <w:tcBorders>
              <w:top w:val="single" w:sz="4" w:space="0" w:color="auto"/>
              <w:left w:val="nil"/>
              <w:bottom w:val="single" w:sz="4" w:space="0" w:color="auto"/>
              <w:right w:val="single" w:sz="4" w:space="0" w:color="auto"/>
            </w:tcBorders>
            <w:shd w:val="clear" w:color="auto" w:fill="auto"/>
            <w:noWrap/>
            <w:hideMark/>
          </w:tcPr>
          <w:p w14:paraId="016109F2" w14:textId="2E7DCAEF" w:rsidR="00A61EB3" w:rsidRPr="001E7776" w:rsidRDefault="00A61EB3" w:rsidP="00A61EB3">
            <w:r w:rsidRPr="00257F31">
              <w:t>10.6%</w:t>
            </w:r>
          </w:p>
        </w:tc>
        <w:tc>
          <w:tcPr>
            <w:tcW w:w="754" w:type="pct"/>
            <w:tcBorders>
              <w:top w:val="single" w:sz="4" w:space="0" w:color="auto"/>
              <w:left w:val="single" w:sz="4" w:space="0" w:color="auto"/>
              <w:bottom w:val="single" w:sz="4" w:space="0" w:color="auto"/>
              <w:right w:val="nil"/>
            </w:tcBorders>
            <w:shd w:val="clear" w:color="auto" w:fill="auto"/>
            <w:noWrap/>
            <w:hideMark/>
          </w:tcPr>
          <w:p w14:paraId="02C73EB7" w14:textId="495A6E6A" w:rsidR="00A61EB3" w:rsidRPr="001E7776" w:rsidRDefault="00A61EB3" w:rsidP="00A61EB3">
            <w:r w:rsidRPr="00257F31">
              <w:t>9.2%</w:t>
            </w:r>
          </w:p>
        </w:tc>
        <w:tc>
          <w:tcPr>
            <w:tcW w:w="437" w:type="pct"/>
            <w:shd w:val="clear" w:color="auto" w:fill="auto"/>
            <w:noWrap/>
            <w:hideMark/>
          </w:tcPr>
          <w:p w14:paraId="30BDB5FE" w14:textId="77777777" w:rsidR="00A61EB3" w:rsidRPr="001E7776" w:rsidRDefault="00A61EB3" w:rsidP="00A61EB3">
            <w:pPr>
              <w:rPr>
                <w:rFonts w:cs="Arial"/>
              </w:rPr>
            </w:pPr>
            <w:r w:rsidRPr="001E7776">
              <w:rPr>
                <w:rFonts w:cs="Arial"/>
                <w:color w:val="000000"/>
              </w:rPr>
              <w:t>9.6%</w:t>
            </w:r>
          </w:p>
        </w:tc>
      </w:tr>
      <w:tr w:rsidR="00A61EB3" w:rsidRPr="001E7776" w14:paraId="53F23A09" w14:textId="77777777" w:rsidTr="00A61EB3">
        <w:trPr>
          <w:trHeight w:val="288"/>
        </w:trPr>
        <w:tc>
          <w:tcPr>
            <w:tcW w:w="1027" w:type="pct"/>
            <w:shd w:val="clear" w:color="auto" w:fill="auto"/>
            <w:noWrap/>
            <w:hideMark/>
          </w:tcPr>
          <w:p w14:paraId="69A264FB" w14:textId="77777777" w:rsidR="00A61EB3" w:rsidRPr="001E7776" w:rsidRDefault="00A61EB3" w:rsidP="00A61EB3">
            <w:r w:rsidRPr="001E7776">
              <w:t>Other household types</w:t>
            </w:r>
          </w:p>
        </w:tc>
        <w:tc>
          <w:tcPr>
            <w:tcW w:w="1574" w:type="pct"/>
            <w:shd w:val="clear" w:color="auto" w:fill="auto"/>
            <w:noWrap/>
            <w:hideMark/>
          </w:tcPr>
          <w:p w14:paraId="1608F2BD" w14:textId="77777777" w:rsidR="00A61EB3" w:rsidRPr="001E7776" w:rsidRDefault="00A61EB3" w:rsidP="00A61EB3">
            <w:pPr>
              <w:rPr>
                <w:b/>
              </w:rPr>
            </w:pPr>
            <w:r w:rsidRPr="001E7776">
              <w:rPr>
                <w:b/>
              </w:rPr>
              <w:t>Total</w:t>
            </w:r>
          </w:p>
        </w:tc>
        <w:tc>
          <w:tcPr>
            <w:tcW w:w="1208" w:type="pct"/>
            <w:tcBorders>
              <w:top w:val="single" w:sz="4" w:space="0" w:color="auto"/>
              <w:left w:val="nil"/>
              <w:bottom w:val="single" w:sz="4" w:space="0" w:color="auto"/>
              <w:right w:val="single" w:sz="4" w:space="0" w:color="auto"/>
            </w:tcBorders>
            <w:shd w:val="clear" w:color="auto" w:fill="auto"/>
            <w:noWrap/>
            <w:hideMark/>
          </w:tcPr>
          <w:p w14:paraId="7054F24E" w14:textId="24725FF9" w:rsidR="00A61EB3" w:rsidRPr="001E7776" w:rsidRDefault="00A61EB3" w:rsidP="00A61EB3">
            <w:r w:rsidRPr="00257F31">
              <w:t>6.4%</w:t>
            </w:r>
          </w:p>
        </w:tc>
        <w:tc>
          <w:tcPr>
            <w:tcW w:w="754" w:type="pct"/>
            <w:tcBorders>
              <w:top w:val="single" w:sz="4" w:space="0" w:color="auto"/>
              <w:left w:val="single" w:sz="4" w:space="0" w:color="auto"/>
              <w:bottom w:val="single" w:sz="4" w:space="0" w:color="auto"/>
              <w:right w:val="nil"/>
            </w:tcBorders>
            <w:shd w:val="clear" w:color="auto" w:fill="auto"/>
            <w:noWrap/>
            <w:hideMark/>
          </w:tcPr>
          <w:p w14:paraId="05E09CA4" w14:textId="5B216970" w:rsidR="00A61EB3" w:rsidRPr="001E7776" w:rsidRDefault="00A61EB3" w:rsidP="00A61EB3">
            <w:r w:rsidRPr="00257F31">
              <w:t>4.1%</w:t>
            </w:r>
          </w:p>
        </w:tc>
        <w:tc>
          <w:tcPr>
            <w:tcW w:w="437" w:type="pct"/>
            <w:shd w:val="clear" w:color="auto" w:fill="auto"/>
            <w:noWrap/>
            <w:hideMark/>
          </w:tcPr>
          <w:p w14:paraId="14E5EE43" w14:textId="77777777" w:rsidR="00A61EB3" w:rsidRPr="001E7776" w:rsidRDefault="00A61EB3" w:rsidP="00A61EB3">
            <w:pPr>
              <w:rPr>
                <w:rFonts w:cs="Arial"/>
              </w:rPr>
            </w:pPr>
            <w:r w:rsidRPr="001E7776">
              <w:rPr>
                <w:rFonts w:cs="Arial"/>
                <w:color w:val="000000"/>
              </w:rPr>
              <w:t>8.0%</w:t>
            </w:r>
          </w:p>
        </w:tc>
      </w:tr>
    </w:tbl>
    <w:p w14:paraId="0EA93FDE" w14:textId="77777777" w:rsidR="001E7776" w:rsidRPr="001E7776" w:rsidRDefault="001E7776" w:rsidP="006E5E1E">
      <w:pPr>
        <w:pStyle w:val="Source"/>
        <w:rPr>
          <w:webHidden/>
        </w:rPr>
      </w:pPr>
      <w:r w:rsidRPr="001E7776">
        <w:rPr>
          <w:webHidden/>
        </w:rPr>
        <w:t>Source: ONS 2011, AECOM Calculations</w:t>
      </w:r>
    </w:p>
    <w:p w14:paraId="0E03DDE6" w14:textId="77777777" w:rsidR="001E7776" w:rsidRPr="00D56987" w:rsidRDefault="001E7776" w:rsidP="00D56987">
      <w:pPr>
        <w:pStyle w:val="Heading3"/>
        <w:jc w:val="both"/>
      </w:pPr>
      <w:bookmarkStart w:id="114" w:name="_Toc7789755"/>
      <w:r w:rsidRPr="00D56987">
        <w:t>Future household composition and age mix</w:t>
      </w:r>
      <w:bookmarkEnd w:id="114"/>
    </w:p>
    <w:p w14:paraId="45648783" w14:textId="77777777" w:rsidR="001E7776" w:rsidRPr="001E7776" w:rsidRDefault="001E7776" w:rsidP="006E5E1E">
      <w:pPr>
        <w:pStyle w:val="ListNumber"/>
      </w:pPr>
      <w:r w:rsidRPr="001E7776">
        <w:t>We now consider how household composition has shifted over the 2001-11 inter-census period, before examining how it is expected to evolve towards the end of the Plan period.</w:t>
      </w:r>
    </w:p>
    <w:p w14:paraId="3CAF86F4" w14:textId="18210722" w:rsidR="001E7776" w:rsidRPr="00B815D7" w:rsidRDefault="001E7776" w:rsidP="006E5E1E">
      <w:pPr>
        <w:pStyle w:val="ListNumber"/>
      </w:pPr>
      <w:r w:rsidRPr="00B815D7">
        <w:fldChar w:fldCharType="begin"/>
      </w:r>
      <w:r w:rsidRPr="00B815D7">
        <w:instrText xml:space="preserve"> REF _Ref523824916 \h  \* MERGEFORMAT </w:instrText>
      </w:r>
      <w:r w:rsidRPr="00B815D7">
        <w:fldChar w:fldCharType="separate"/>
      </w:r>
      <w:r w:rsidR="004F6699" w:rsidRPr="004F6699">
        <w:t>Table 5</w:t>
      </w:r>
      <w:r w:rsidR="004F6699" w:rsidRPr="004F6699">
        <w:noBreakHyphen/>
        <w:t>7</w:t>
      </w:r>
      <w:r w:rsidRPr="00B815D7">
        <w:fldChar w:fldCharType="end"/>
      </w:r>
      <w:r w:rsidRPr="00B815D7">
        <w:t xml:space="preserve"> below shows that </w:t>
      </w:r>
      <w:r w:rsidR="004D2F3E">
        <w:t>many</w:t>
      </w:r>
      <w:r w:rsidRPr="00B815D7">
        <w:t xml:space="preserve"> household types </w:t>
      </w:r>
      <w:r w:rsidR="004D2F3E">
        <w:t xml:space="preserve">saw </w:t>
      </w:r>
      <w:r w:rsidRPr="00B815D7">
        <w:t xml:space="preserve">a </w:t>
      </w:r>
      <w:r w:rsidR="00911404" w:rsidRPr="00B815D7">
        <w:t xml:space="preserve">small </w:t>
      </w:r>
      <w:r w:rsidRPr="00B815D7">
        <w:t>decline in the inter-census period apart from families with</w:t>
      </w:r>
      <w:r w:rsidR="00B815D7" w:rsidRPr="00B815D7">
        <w:t xml:space="preserve"> non-dependent children</w:t>
      </w:r>
      <w:r w:rsidRPr="00B815D7">
        <w:t xml:space="preserve">. This contrasts with the </w:t>
      </w:r>
      <w:r w:rsidR="00B815D7" w:rsidRPr="00B815D7">
        <w:t>district</w:t>
      </w:r>
      <w:r w:rsidRPr="00B815D7">
        <w:t xml:space="preserve"> which has generally seen an increase in all categories. </w:t>
      </w:r>
    </w:p>
    <w:p w14:paraId="34D91ABA" w14:textId="1C1C4694" w:rsidR="001E7776" w:rsidRPr="001E7776" w:rsidRDefault="001E7776" w:rsidP="001E7776">
      <w:pPr>
        <w:keepNext/>
        <w:spacing w:after="120"/>
        <w:ind w:left="425"/>
        <w:rPr>
          <w:rFonts w:asciiTheme="majorHAnsi" w:hAnsiTheme="majorHAnsi"/>
          <w:b/>
          <w:bCs/>
          <w:color w:val="00B5E2" w:themeColor="accent1"/>
          <w:sz w:val="20"/>
        </w:rPr>
      </w:pPr>
      <w:bookmarkStart w:id="115" w:name="_Ref523824916"/>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7</w:t>
      </w:r>
      <w:r w:rsidRPr="001E7776">
        <w:rPr>
          <w:rFonts w:asciiTheme="majorHAnsi" w:hAnsiTheme="majorHAnsi"/>
          <w:b/>
          <w:bCs/>
          <w:noProof/>
          <w:color w:val="00B5E2" w:themeColor="accent1"/>
          <w:sz w:val="20"/>
        </w:rPr>
        <w:fldChar w:fldCharType="end"/>
      </w:r>
      <w:bookmarkEnd w:id="115"/>
      <w:r w:rsidRPr="001E7776">
        <w:rPr>
          <w:rFonts w:asciiTheme="majorHAnsi" w:hAnsiTheme="majorHAnsi"/>
          <w:b/>
          <w:bCs/>
          <w:color w:val="00B5E2" w:themeColor="accent1"/>
          <w:sz w:val="20"/>
        </w:rPr>
        <w:t xml:space="preserve">: Rates of change in household composition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2001-2011</w:t>
      </w:r>
    </w:p>
    <w:tbl>
      <w:tblPr>
        <w:tblW w:w="4736" w:type="pct"/>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075"/>
        <w:gridCol w:w="2870"/>
        <w:gridCol w:w="2278"/>
        <w:gridCol w:w="1376"/>
        <w:gridCol w:w="824"/>
      </w:tblGrid>
      <w:tr w:rsidR="001E7776" w:rsidRPr="001E7776" w14:paraId="12E7CA12" w14:textId="77777777" w:rsidTr="00B84D34">
        <w:trPr>
          <w:trHeight w:val="288"/>
        </w:trPr>
        <w:tc>
          <w:tcPr>
            <w:tcW w:w="1101" w:type="pct"/>
            <w:shd w:val="clear" w:color="auto" w:fill="000000"/>
            <w:noWrap/>
            <w:hideMark/>
          </w:tcPr>
          <w:p w14:paraId="07E3347B" w14:textId="77777777" w:rsidR="001E7776" w:rsidRPr="001E7776" w:rsidRDefault="001E7776" w:rsidP="001E7776">
            <w:pPr>
              <w:rPr>
                <w:rFonts w:cs="Arial"/>
                <w:b/>
                <w:color w:val="FFFFFF"/>
              </w:rPr>
            </w:pPr>
            <w:r w:rsidRPr="001E7776">
              <w:rPr>
                <w:rFonts w:cs="Arial"/>
                <w:b/>
                <w:color w:val="FFFFFF"/>
              </w:rPr>
              <w:t>Household type</w:t>
            </w:r>
          </w:p>
        </w:tc>
        <w:tc>
          <w:tcPr>
            <w:tcW w:w="1523" w:type="pct"/>
            <w:shd w:val="clear" w:color="auto" w:fill="000000"/>
            <w:noWrap/>
            <w:hideMark/>
          </w:tcPr>
          <w:p w14:paraId="3260FD2B" w14:textId="77777777" w:rsidR="001E7776" w:rsidRPr="001E7776" w:rsidRDefault="001E7776" w:rsidP="001E7776">
            <w:pPr>
              <w:rPr>
                <w:rFonts w:cs="Arial"/>
                <w:b/>
                <w:color w:val="FFFFFF"/>
              </w:rPr>
            </w:pPr>
          </w:p>
        </w:tc>
        <w:tc>
          <w:tcPr>
            <w:tcW w:w="1938" w:type="pct"/>
            <w:gridSpan w:val="2"/>
            <w:shd w:val="clear" w:color="auto" w:fill="000000"/>
            <w:noWrap/>
            <w:hideMark/>
          </w:tcPr>
          <w:p w14:paraId="4DDD3416" w14:textId="77777777" w:rsidR="001E7776" w:rsidRPr="001E7776" w:rsidRDefault="001E7776" w:rsidP="001E7776">
            <w:pPr>
              <w:rPr>
                <w:rFonts w:cs="Arial"/>
                <w:b/>
                <w:color w:val="FFFFFF"/>
              </w:rPr>
            </w:pPr>
            <w:r w:rsidRPr="001E7776">
              <w:rPr>
                <w:rFonts w:cs="Arial"/>
                <w:b/>
                <w:color w:val="FFFFFF"/>
              </w:rPr>
              <w:t>Percentage change, 2001-2011</w:t>
            </w:r>
          </w:p>
        </w:tc>
        <w:tc>
          <w:tcPr>
            <w:tcW w:w="437" w:type="pct"/>
            <w:shd w:val="clear" w:color="auto" w:fill="000000"/>
            <w:noWrap/>
            <w:hideMark/>
          </w:tcPr>
          <w:p w14:paraId="3A240530" w14:textId="77777777" w:rsidR="001E7776" w:rsidRPr="001E7776" w:rsidRDefault="001E7776" w:rsidP="001E7776">
            <w:pPr>
              <w:rPr>
                <w:rFonts w:cs="Arial"/>
                <w:b/>
                <w:color w:val="FFFFFF"/>
              </w:rPr>
            </w:pPr>
          </w:p>
        </w:tc>
      </w:tr>
      <w:tr w:rsidR="001E7776" w:rsidRPr="001E7776" w14:paraId="17A1D5A6" w14:textId="77777777" w:rsidTr="00B84D34">
        <w:trPr>
          <w:trHeight w:val="288"/>
        </w:trPr>
        <w:tc>
          <w:tcPr>
            <w:tcW w:w="1101" w:type="pct"/>
            <w:shd w:val="clear" w:color="auto" w:fill="000000"/>
            <w:noWrap/>
            <w:hideMark/>
          </w:tcPr>
          <w:p w14:paraId="613FE0E4" w14:textId="77777777" w:rsidR="001E7776" w:rsidRPr="001E7776" w:rsidRDefault="001E7776" w:rsidP="001E7776">
            <w:pPr>
              <w:rPr>
                <w:rFonts w:cs="Arial"/>
                <w:b/>
                <w:color w:val="FFFFFF"/>
              </w:rPr>
            </w:pPr>
          </w:p>
        </w:tc>
        <w:tc>
          <w:tcPr>
            <w:tcW w:w="1523" w:type="pct"/>
            <w:shd w:val="clear" w:color="auto" w:fill="000000"/>
            <w:noWrap/>
            <w:hideMark/>
          </w:tcPr>
          <w:p w14:paraId="6AA36830" w14:textId="77777777" w:rsidR="001E7776" w:rsidRPr="001E7776" w:rsidRDefault="001E7776" w:rsidP="001E7776">
            <w:pPr>
              <w:rPr>
                <w:rFonts w:cs="Arial"/>
                <w:b/>
                <w:color w:val="FFFFFF"/>
              </w:rPr>
            </w:pPr>
          </w:p>
        </w:tc>
        <w:tc>
          <w:tcPr>
            <w:tcW w:w="1209" w:type="pct"/>
            <w:shd w:val="clear" w:color="auto" w:fill="000000"/>
            <w:noWrap/>
            <w:vAlign w:val="center"/>
            <w:hideMark/>
          </w:tcPr>
          <w:p w14:paraId="19E0DFB8" w14:textId="2F486DBF" w:rsidR="001E7776" w:rsidRPr="001E7776" w:rsidRDefault="00A61EB3" w:rsidP="001E7776">
            <w:pPr>
              <w:rPr>
                <w:rFonts w:cs="Arial"/>
                <w:b/>
              </w:rPr>
            </w:pPr>
            <w:r>
              <w:rPr>
                <w:rFonts w:cs="Arial"/>
                <w:b/>
                <w:bCs/>
                <w:szCs w:val="22"/>
              </w:rPr>
              <w:t>Copdock and Washbrook</w:t>
            </w:r>
          </w:p>
        </w:tc>
        <w:tc>
          <w:tcPr>
            <w:tcW w:w="730" w:type="pct"/>
            <w:shd w:val="clear" w:color="auto" w:fill="000000"/>
            <w:noWrap/>
            <w:vAlign w:val="center"/>
            <w:hideMark/>
          </w:tcPr>
          <w:p w14:paraId="62F346FF" w14:textId="53DAD621" w:rsidR="001E7776" w:rsidRPr="001E7776" w:rsidRDefault="00A61EB3" w:rsidP="001E7776">
            <w:pPr>
              <w:rPr>
                <w:rFonts w:cs="Arial"/>
                <w:b/>
              </w:rPr>
            </w:pPr>
            <w:r>
              <w:rPr>
                <w:rFonts w:cs="Arial"/>
                <w:b/>
                <w:bCs/>
                <w:szCs w:val="22"/>
              </w:rPr>
              <w:t>Babergh</w:t>
            </w:r>
          </w:p>
        </w:tc>
        <w:tc>
          <w:tcPr>
            <w:tcW w:w="437" w:type="pct"/>
            <w:shd w:val="clear" w:color="auto" w:fill="000000"/>
            <w:noWrap/>
            <w:vAlign w:val="center"/>
            <w:hideMark/>
          </w:tcPr>
          <w:p w14:paraId="29F78479" w14:textId="77777777" w:rsidR="001E7776" w:rsidRPr="001E7776" w:rsidRDefault="001E7776" w:rsidP="001E7776">
            <w:pPr>
              <w:rPr>
                <w:rFonts w:cs="Arial"/>
                <w:b/>
              </w:rPr>
            </w:pPr>
            <w:r w:rsidRPr="001E7776">
              <w:rPr>
                <w:rFonts w:cs="Arial"/>
                <w:b/>
                <w:bCs/>
                <w:szCs w:val="22"/>
              </w:rPr>
              <w:t>England</w:t>
            </w:r>
          </w:p>
        </w:tc>
      </w:tr>
      <w:tr w:rsidR="00B84D34" w:rsidRPr="001E7776" w14:paraId="68E44B6C" w14:textId="77777777" w:rsidTr="00B84D34">
        <w:trPr>
          <w:trHeight w:val="288"/>
        </w:trPr>
        <w:tc>
          <w:tcPr>
            <w:tcW w:w="1101" w:type="pct"/>
            <w:shd w:val="clear" w:color="auto" w:fill="auto"/>
            <w:noWrap/>
            <w:hideMark/>
          </w:tcPr>
          <w:p w14:paraId="368E03EB" w14:textId="77777777" w:rsidR="00B84D34" w:rsidRPr="001E7776" w:rsidRDefault="00B84D34" w:rsidP="00B84D34">
            <w:pPr>
              <w:rPr>
                <w:rFonts w:cs="Arial"/>
                <w:b/>
              </w:rPr>
            </w:pPr>
            <w:r w:rsidRPr="001E7776">
              <w:rPr>
                <w:rFonts w:cs="Arial"/>
                <w:b/>
              </w:rPr>
              <w:t>One person household</w:t>
            </w:r>
          </w:p>
        </w:tc>
        <w:tc>
          <w:tcPr>
            <w:tcW w:w="1523" w:type="pct"/>
            <w:shd w:val="clear" w:color="auto" w:fill="auto"/>
            <w:noWrap/>
            <w:hideMark/>
          </w:tcPr>
          <w:p w14:paraId="01391435" w14:textId="77777777" w:rsidR="00B84D34" w:rsidRPr="001E7776" w:rsidRDefault="00B84D34" w:rsidP="00B84D34">
            <w:pPr>
              <w:rPr>
                <w:rFonts w:cs="Arial"/>
                <w:b/>
              </w:rPr>
            </w:pPr>
            <w:r w:rsidRPr="001E7776">
              <w:rPr>
                <w:rFonts w:cs="Arial"/>
                <w:b/>
              </w:rPr>
              <w:t>Total</w:t>
            </w:r>
          </w:p>
        </w:tc>
        <w:tc>
          <w:tcPr>
            <w:tcW w:w="1209" w:type="pct"/>
            <w:shd w:val="clear" w:color="auto" w:fill="auto"/>
            <w:noWrap/>
            <w:hideMark/>
          </w:tcPr>
          <w:p w14:paraId="05C8F3D3" w14:textId="063582B5" w:rsidR="00B84D34" w:rsidRPr="001E7776" w:rsidRDefault="00B84D34" w:rsidP="00B84D34">
            <w:pPr>
              <w:rPr>
                <w:rFonts w:cs="Arial"/>
              </w:rPr>
            </w:pPr>
            <w:r w:rsidRPr="00543606">
              <w:t>4.2%</w:t>
            </w:r>
          </w:p>
        </w:tc>
        <w:tc>
          <w:tcPr>
            <w:tcW w:w="730" w:type="pct"/>
            <w:shd w:val="clear" w:color="auto" w:fill="auto"/>
            <w:noWrap/>
            <w:hideMark/>
          </w:tcPr>
          <w:p w14:paraId="093E8C78" w14:textId="418BBA37" w:rsidR="00B84D34" w:rsidRPr="001E7776" w:rsidRDefault="00B84D34" w:rsidP="00B84D34">
            <w:pPr>
              <w:rPr>
                <w:rFonts w:cs="Arial"/>
              </w:rPr>
            </w:pPr>
            <w:r w:rsidRPr="00543606">
              <w:t>11.7%</w:t>
            </w:r>
          </w:p>
        </w:tc>
        <w:tc>
          <w:tcPr>
            <w:tcW w:w="437" w:type="pct"/>
            <w:shd w:val="clear" w:color="auto" w:fill="auto"/>
            <w:noWrap/>
            <w:hideMark/>
          </w:tcPr>
          <w:p w14:paraId="3F9F9A03" w14:textId="77777777" w:rsidR="00B84D34" w:rsidRPr="001E7776" w:rsidRDefault="00B84D34" w:rsidP="00B84D34">
            <w:pPr>
              <w:rPr>
                <w:rFonts w:cs="Arial"/>
              </w:rPr>
            </w:pPr>
            <w:r w:rsidRPr="001E7776">
              <w:rPr>
                <w:rFonts w:cs="Arial"/>
              </w:rPr>
              <w:t>8.4%</w:t>
            </w:r>
          </w:p>
        </w:tc>
      </w:tr>
      <w:tr w:rsidR="00B84D34" w:rsidRPr="001E7776" w14:paraId="34C2481F" w14:textId="77777777" w:rsidTr="00B84D34">
        <w:trPr>
          <w:trHeight w:val="288"/>
        </w:trPr>
        <w:tc>
          <w:tcPr>
            <w:tcW w:w="1101" w:type="pct"/>
            <w:shd w:val="clear" w:color="auto" w:fill="auto"/>
            <w:noWrap/>
            <w:hideMark/>
          </w:tcPr>
          <w:p w14:paraId="192E5497" w14:textId="77777777" w:rsidR="00B84D34" w:rsidRPr="001E7776" w:rsidRDefault="00B84D34" w:rsidP="00B84D34">
            <w:pPr>
              <w:rPr>
                <w:rFonts w:cs="Arial"/>
              </w:rPr>
            </w:pPr>
          </w:p>
        </w:tc>
        <w:tc>
          <w:tcPr>
            <w:tcW w:w="1523" w:type="pct"/>
            <w:shd w:val="clear" w:color="auto" w:fill="auto"/>
            <w:noWrap/>
            <w:hideMark/>
          </w:tcPr>
          <w:p w14:paraId="216FDCFB" w14:textId="77777777" w:rsidR="00B84D34" w:rsidRPr="001E7776" w:rsidRDefault="00B84D34" w:rsidP="00B84D34">
            <w:pPr>
              <w:rPr>
                <w:rFonts w:cs="Arial"/>
              </w:rPr>
            </w:pPr>
            <w:r w:rsidRPr="001E7776">
              <w:rPr>
                <w:rFonts w:cs="Arial"/>
              </w:rPr>
              <w:t>Aged 65 and over</w:t>
            </w:r>
          </w:p>
        </w:tc>
        <w:tc>
          <w:tcPr>
            <w:tcW w:w="1209" w:type="pct"/>
            <w:shd w:val="clear" w:color="auto" w:fill="auto"/>
            <w:noWrap/>
            <w:hideMark/>
          </w:tcPr>
          <w:p w14:paraId="5B7D3E88" w14:textId="7AC7B21E" w:rsidR="00B84D34" w:rsidRPr="001E7776" w:rsidRDefault="00B84D34" w:rsidP="00B84D34">
            <w:pPr>
              <w:rPr>
                <w:rFonts w:cs="Arial"/>
              </w:rPr>
            </w:pPr>
            <w:r w:rsidRPr="00543606">
              <w:t>-1.6%</w:t>
            </w:r>
          </w:p>
        </w:tc>
        <w:tc>
          <w:tcPr>
            <w:tcW w:w="730" w:type="pct"/>
            <w:shd w:val="clear" w:color="auto" w:fill="auto"/>
            <w:noWrap/>
            <w:hideMark/>
          </w:tcPr>
          <w:p w14:paraId="6ED4CDD5" w14:textId="2CAB79EC" w:rsidR="00B84D34" w:rsidRPr="001E7776" w:rsidRDefault="00B84D34" w:rsidP="00B84D34">
            <w:pPr>
              <w:rPr>
                <w:rFonts w:cs="Arial"/>
              </w:rPr>
            </w:pPr>
            <w:r w:rsidRPr="00543606">
              <w:t>1.8%</w:t>
            </w:r>
          </w:p>
        </w:tc>
        <w:tc>
          <w:tcPr>
            <w:tcW w:w="437" w:type="pct"/>
            <w:shd w:val="clear" w:color="auto" w:fill="auto"/>
            <w:noWrap/>
            <w:hideMark/>
          </w:tcPr>
          <w:p w14:paraId="74E949D4" w14:textId="77777777" w:rsidR="00B84D34" w:rsidRPr="001E7776" w:rsidRDefault="00B84D34" w:rsidP="00B84D34">
            <w:pPr>
              <w:rPr>
                <w:rFonts w:cs="Arial"/>
              </w:rPr>
            </w:pPr>
            <w:r w:rsidRPr="001E7776">
              <w:rPr>
                <w:rFonts w:cs="Arial"/>
              </w:rPr>
              <w:t>-7.3%</w:t>
            </w:r>
          </w:p>
        </w:tc>
      </w:tr>
      <w:tr w:rsidR="00B84D34" w:rsidRPr="001E7776" w14:paraId="3053064C" w14:textId="77777777" w:rsidTr="00B84D34">
        <w:trPr>
          <w:trHeight w:val="288"/>
        </w:trPr>
        <w:tc>
          <w:tcPr>
            <w:tcW w:w="1101" w:type="pct"/>
            <w:shd w:val="clear" w:color="auto" w:fill="auto"/>
            <w:noWrap/>
            <w:hideMark/>
          </w:tcPr>
          <w:p w14:paraId="1C559BB7" w14:textId="77777777" w:rsidR="00B84D34" w:rsidRPr="001E7776" w:rsidRDefault="00B84D34" w:rsidP="00B84D34">
            <w:pPr>
              <w:rPr>
                <w:rFonts w:cs="Arial"/>
              </w:rPr>
            </w:pPr>
          </w:p>
        </w:tc>
        <w:tc>
          <w:tcPr>
            <w:tcW w:w="1523" w:type="pct"/>
            <w:shd w:val="clear" w:color="auto" w:fill="auto"/>
            <w:noWrap/>
            <w:hideMark/>
          </w:tcPr>
          <w:p w14:paraId="1B4375C7" w14:textId="77777777" w:rsidR="00B84D34" w:rsidRPr="001E7776" w:rsidRDefault="00B84D34" w:rsidP="00B84D34">
            <w:pPr>
              <w:rPr>
                <w:rFonts w:cs="Arial"/>
              </w:rPr>
            </w:pPr>
            <w:r w:rsidRPr="001E7776">
              <w:rPr>
                <w:rFonts w:cs="Arial"/>
              </w:rPr>
              <w:t>Other</w:t>
            </w:r>
          </w:p>
        </w:tc>
        <w:tc>
          <w:tcPr>
            <w:tcW w:w="1209" w:type="pct"/>
            <w:shd w:val="clear" w:color="auto" w:fill="auto"/>
            <w:noWrap/>
            <w:hideMark/>
          </w:tcPr>
          <w:p w14:paraId="060A12E9" w14:textId="10F6AC8F" w:rsidR="00B84D34" w:rsidRPr="001E7776" w:rsidRDefault="00B84D34" w:rsidP="00B84D34">
            <w:pPr>
              <w:rPr>
                <w:rFonts w:cs="Arial"/>
              </w:rPr>
            </w:pPr>
            <w:r w:rsidRPr="00543606">
              <w:t>10.9%</w:t>
            </w:r>
          </w:p>
        </w:tc>
        <w:tc>
          <w:tcPr>
            <w:tcW w:w="730" w:type="pct"/>
            <w:shd w:val="clear" w:color="auto" w:fill="auto"/>
            <w:noWrap/>
            <w:hideMark/>
          </w:tcPr>
          <w:p w14:paraId="4B843049" w14:textId="4A7C8B7C" w:rsidR="00B84D34" w:rsidRPr="001E7776" w:rsidRDefault="00B84D34" w:rsidP="00B84D34">
            <w:pPr>
              <w:rPr>
                <w:rFonts w:cs="Arial"/>
              </w:rPr>
            </w:pPr>
            <w:r w:rsidRPr="00543606">
              <w:t>23.7%</w:t>
            </w:r>
          </w:p>
        </w:tc>
        <w:tc>
          <w:tcPr>
            <w:tcW w:w="437" w:type="pct"/>
            <w:shd w:val="clear" w:color="auto" w:fill="auto"/>
            <w:noWrap/>
            <w:hideMark/>
          </w:tcPr>
          <w:p w14:paraId="293D50D7" w14:textId="77777777" w:rsidR="00B84D34" w:rsidRPr="001E7776" w:rsidRDefault="00B84D34" w:rsidP="00B84D34">
            <w:pPr>
              <w:rPr>
                <w:rFonts w:cs="Arial"/>
              </w:rPr>
            </w:pPr>
            <w:r w:rsidRPr="001E7776">
              <w:rPr>
                <w:rFonts w:cs="Arial"/>
              </w:rPr>
              <w:t>22.7%</w:t>
            </w:r>
          </w:p>
        </w:tc>
      </w:tr>
      <w:tr w:rsidR="00B84D34" w:rsidRPr="001E7776" w14:paraId="0156FFE3" w14:textId="77777777" w:rsidTr="00B84D34">
        <w:trPr>
          <w:trHeight w:val="288"/>
        </w:trPr>
        <w:tc>
          <w:tcPr>
            <w:tcW w:w="1101" w:type="pct"/>
            <w:shd w:val="clear" w:color="auto" w:fill="auto"/>
            <w:noWrap/>
            <w:hideMark/>
          </w:tcPr>
          <w:p w14:paraId="7C25624E" w14:textId="77777777" w:rsidR="00B84D34" w:rsidRPr="001E7776" w:rsidRDefault="00B84D34" w:rsidP="00B84D34">
            <w:pPr>
              <w:rPr>
                <w:rFonts w:cs="Arial"/>
                <w:b/>
              </w:rPr>
            </w:pPr>
            <w:r w:rsidRPr="001E7776">
              <w:rPr>
                <w:rFonts w:cs="Arial"/>
                <w:b/>
              </w:rPr>
              <w:t>One family only</w:t>
            </w:r>
          </w:p>
        </w:tc>
        <w:tc>
          <w:tcPr>
            <w:tcW w:w="1523" w:type="pct"/>
            <w:shd w:val="clear" w:color="auto" w:fill="auto"/>
            <w:noWrap/>
            <w:hideMark/>
          </w:tcPr>
          <w:p w14:paraId="41393C3A" w14:textId="77777777" w:rsidR="00B84D34" w:rsidRPr="001E7776" w:rsidRDefault="00B84D34" w:rsidP="00B84D34">
            <w:pPr>
              <w:rPr>
                <w:rFonts w:cs="Arial"/>
                <w:b/>
              </w:rPr>
            </w:pPr>
            <w:r w:rsidRPr="001E7776">
              <w:rPr>
                <w:rFonts w:cs="Arial"/>
                <w:b/>
              </w:rPr>
              <w:t>Total</w:t>
            </w:r>
          </w:p>
        </w:tc>
        <w:tc>
          <w:tcPr>
            <w:tcW w:w="1209" w:type="pct"/>
            <w:shd w:val="clear" w:color="auto" w:fill="auto"/>
            <w:noWrap/>
            <w:hideMark/>
          </w:tcPr>
          <w:p w14:paraId="4BC85A81" w14:textId="436A0E3B" w:rsidR="00B84D34" w:rsidRPr="001E7776" w:rsidRDefault="00B84D34" w:rsidP="00B84D34">
            <w:pPr>
              <w:rPr>
                <w:rFonts w:cs="Arial"/>
              </w:rPr>
            </w:pPr>
            <w:r w:rsidRPr="00543606">
              <w:t>-5.4%</w:t>
            </w:r>
          </w:p>
        </w:tc>
        <w:tc>
          <w:tcPr>
            <w:tcW w:w="730" w:type="pct"/>
            <w:shd w:val="clear" w:color="auto" w:fill="auto"/>
            <w:noWrap/>
            <w:hideMark/>
          </w:tcPr>
          <w:p w14:paraId="6044F41B" w14:textId="58356A74" w:rsidR="00B84D34" w:rsidRPr="001E7776" w:rsidRDefault="00B84D34" w:rsidP="00B84D34">
            <w:pPr>
              <w:rPr>
                <w:rFonts w:cs="Arial"/>
              </w:rPr>
            </w:pPr>
            <w:r w:rsidRPr="00543606">
              <w:t>5.5%</w:t>
            </w:r>
          </w:p>
        </w:tc>
        <w:tc>
          <w:tcPr>
            <w:tcW w:w="437" w:type="pct"/>
            <w:shd w:val="clear" w:color="auto" w:fill="auto"/>
            <w:noWrap/>
            <w:hideMark/>
          </w:tcPr>
          <w:p w14:paraId="5055A991" w14:textId="77777777" w:rsidR="00B84D34" w:rsidRPr="001E7776" w:rsidRDefault="00B84D34" w:rsidP="00B84D34">
            <w:pPr>
              <w:rPr>
                <w:rFonts w:cs="Arial"/>
              </w:rPr>
            </w:pPr>
            <w:r w:rsidRPr="001E7776">
              <w:rPr>
                <w:rFonts w:cs="Arial"/>
              </w:rPr>
              <w:t>5.4%</w:t>
            </w:r>
          </w:p>
        </w:tc>
      </w:tr>
      <w:tr w:rsidR="00B84D34" w:rsidRPr="001E7776" w14:paraId="5A78C2E6" w14:textId="77777777" w:rsidTr="00B84D34">
        <w:trPr>
          <w:trHeight w:val="288"/>
        </w:trPr>
        <w:tc>
          <w:tcPr>
            <w:tcW w:w="1101" w:type="pct"/>
            <w:shd w:val="clear" w:color="auto" w:fill="auto"/>
            <w:noWrap/>
            <w:hideMark/>
          </w:tcPr>
          <w:p w14:paraId="01A363A3" w14:textId="77777777" w:rsidR="00B84D34" w:rsidRPr="001E7776" w:rsidRDefault="00B84D34" w:rsidP="00B84D34">
            <w:pPr>
              <w:rPr>
                <w:rFonts w:cs="Arial"/>
              </w:rPr>
            </w:pPr>
          </w:p>
        </w:tc>
        <w:tc>
          <w:tcPr>
            <w:tcW w:w="1523" w:type="pct"/>
            <w:shd w:val="clear" w:color="auto" w:fill="auto"/>
            <w:noWrap/>
            <w:hideMark/>
          </w:tcPr>
          <w:p w14:paraId="74321238" w14:textId="77777777" w:rsidR="00B84D34" w:rsidRPr="001E7776" w:rsidRDefault="00B84D34" w:rsidP="00B84D34">
            <w:pPr>
              <w:rPr>
                <w:rFonts w:cs="Arial"/>
              </w:rPr>
            </w:pPr>
            <w:r w:rsidRPr="001E7776">
              <w:rPr>
                <w:rFonts w:cs="Arial"/>
              </w:rPr>
              <w:t>All aged 65 and over</w:t>
            </w:r>
          </w:p>
        </w:tc>
        <w:tc>
          <w:tcPr>
            <w:tcW w:w="1209" w:type="pct"/>
            <w:shd w:val="clear" w:color="auto" w:fill="auto"/>
            <w:noWrap/>
            <w:hideMark/>
          </w:tcPr>
          <w:p w14:paraId="3FF1E7EA" w14:textId="3913B881" w:rsidR="00B84D34" w:rsidRPr="001E7776" w:rsidRDefault="00B84D34" w:rsidP="00B84D34">
            <w:pPr>
              <w:rPr>
                <w:rFonts w:cs="Arial"/>
              </w:rPr>
            </w:pPr>
            <w:r w:rsidRPr="00543606">
              <w:t>-12.3%</w:t>
            </w:r>
          </w:p>
        </w:tc>
        <w:tc>
          <w:tcPr>
            <w:tcW w:w="730" w:type="pct"/>
            <w:shd w:val="clear" w:color="auto" w:fill="auto"/>
            <w:noWrap/>
            <w:hideMark/>
          </w:tcPr>
          <w:p w14:paraId="3E5AC703" w14:textId="6145787D" w:rsidR="00B84D34" w:rsidRPr="001E7776" w:rsidRDefault="00B84D34" w:rsidP="00B84D34">
            <w:pPr>
              <w:rPr>
                <w:rFonts w:cs="Arial"/>
              </w:rPr>
            </w:pPr>
            <w:r w:rsidRPr="00543606">
              <w:t>9.2%</w:t>
            </w:r>
          </w:p>
        </w:tc>
        <w:tc>
          <w:tcPr>
            <w:tcW w:w="437" w:type="pct"/>
            <w:shd w:val="clear" w:color="auto" w:fill="auto"/>
            <w:noWrap/>
            <w:hideMark/>
          </w:tcPr>
          <w:p w14:paraId="3B91911C" w14:textId="77777777" w:rsidR="00B84D34" w:rsidRPr="001E7776" w:rsidRDefault="00B84D34" w:rsidP="00B84D34">
            <w:pPr>
              <w:rPr>
                <w:rFonts w:cs="Arial"/>
              </w:rPr>
            </w:pPr>
            <w:r w:rsidRPr="001E7776">
              <w:rPr>
                <w:rFonts w:cs="Arial"/>
              </w:rPr>
              <w:t>-2.0%</w:t>
            </w:r>
          </w:p>
        </w:tc>
      </w:tr>
      <w:tr w:rsidR="00B84D34" w:rsidRPr="001E7776" w14:paraId="11319DEE" w14:textId="77777777" w:rsidTr="00B84D34">
        <w:trPr>
          <w:trHeight w:val="288"/>
        </w:trPr>
        <w:tc>
          <w:tcPr>
            <w:tcW w:w="1101" w:type="pct"/>
            <w:shd w:val="clear" w:color="auto" w:fill="auto"/>
            <w:noWrap/>
            <w:hideMark/>
          </w:tcPr>
          <w:p w14:paraId="65D9E8B0" w14:textId="77777777" w:rsidR="00B84D34" w:rsidRPr="001E7776" w:rsidRDefault="00B84D34" w:rsidP="00B84D34">
            <w:pPr>
              <w:rPr>
                <w:rFonts w:cs="Arial"/>
              </w:rPr>
            </w:pPr>
          </w:p>
        </w:tc>
        <w:tc>
          <w:tcPr>
            <w:tcW w:w="1523" w:type="pct"/>
            <w:shd w:val="clear" w:color="auto" w:fill="auto"/>
            <w:noWrap/>
            <w:hideMark/>
          </w:tcPr>
          <w:p w14:paraId="73C0A0CB" w14:textId="77777777" w:rsidR="00B84D34" w:rsidRPr="001E7776" w:rsidRDefault="00B84D34" w:rsidP="00B84D34">
            <w:pPr>
              <w:rPr>
                <w:rFonts w:cs="Arial"/>
              </w:rPr>
            </w:pPr>
            <w:r w:rsidRPr="001E7776">
              <w:rPr>
                <w:rFonts w:cs="Arial"/>
              </w:rPr>
              <w:t>With no children</w:t>
            </w:r>
          </w:p>
        </w:tc>
        <w:tc>
          <w:tcPr>
            <w:tcW w:w="1209" w:type="pct"/>
            <w:shd w:val="clear" w:color="auto" w:fill="auto"/>
            <w:noWrap/>
            <w:hideMark/>
          </w:tcPr>
          <w:p w14:paraId="3FE58B6D" w14:textId="5757DBD8" w:rsidR="00B84D34" w:rsidRPr="001E7776" w:rsidRDefault="00B84D34" w:rsidP="00B84D34">
            <w:pPr>
              <w:rPr>
                <w:rFonts w:cs="Arial"/>
              </w:rPr>
            </w:pPr>
            <w:r w:rsidRPr="00543606">
              <w:t>-12.9%</w:t>
            </w:r>
          </w:p>
        </w:tc>
        <w:tc>
          <w:tcPr>
            <w:tcW w:w="730" w:type="pct"/>
            <w:shd w:val="clear" w:color="auto" w:fill="auto"/>
            <w:noWrap/>
            <w:hideMark/>
          </w:tcPr>
          <w:p w14:paraId="64229BDA" w14:textId="0626D762" w:rsidR="00B84D34" w:rsidRPr="001E7776" w:rsidRDefault="00B84D34" w:rsidP="00B84D34">
            <w:pPr>
              <w:rPr>
                <w:rFonts w:cs="Arial"/>
              </w:rPr>
            </w:pPr>
            <w:r w:rsidRPr="00543606">
              <w:t>8.2%</w:t>
            </w:r>
          </w:p>
        </w:tc>
        <w:tc>
          <w:tcPr>
            <w:tcW w:w="437" w:type="pct"/>
            <w:shd w:val="clear" w:color="auto" w:fill="auto"/>
            <w:noWrap/>
            <w:hideMark/>
          </w:tcPr>
          <w:p w14:paraId="1EC1F06F" w14:textId="77777777" w:rsidR="00B84D34" w:rsidRPr="001E7776" w:rsidRDefault="00B84D34" w:rsidP="00B84D34">
            <w:pPr>
              <w:rPr>
                <w:rFonts w:cs="Arial"/>
              </w:rPr>
            </w:pPr>
            <w:r w:rsidRPr="001E7776">
              <w:rPr>
                <w:rFonts w:cs="Arial"/>
              </w:rPr>
              <w:t>7.1%</w:t>
            </w:r>
          </w:p>
        </w:tc>
      </w:tr>
      <w:tr w:rsidR="00B84D34" w:rsidRPr="001E7776" w14:paraId="22872EC9" w14:textId="77777777" w:rsidTr="00B84D34">
        <w:trPr>
          <w:trHeight w:val="288"/>
        </w:trPr>
        <w:tc>
          <w:tcPr>
            <w:tcW w:w="1101" w:type="pct"/>
            <w:shd w:val="clear" w:color="auto" w:fill="auto"/>
            <w:noWrap/>
            <w:hideMark/>
          </w:tcPr>
          <w:p w14:paraId="37847181" w14:textId="77777777" w:rsidR="00B84D34" w:rsidRPr="001E7776" w:rsidRDefault="00B84D34" w:rsidP="00B84D34">
            <w:pPr>
              <w:rPr>
                <w:rFonts w:cs="Arial"/>
              </w:rPr>
            </w:pPr>
          </w:p>
        </w:tc>
        <w:tc>
          <w:tcPr>
            <w:tcW w:w="1523" w:type="pct"/>
            <w:shd w:val="clear" w:color="auto" w:fill="auto"/>
            <w:noWrap/>
            <w:hideMark/>
          </w:tcPr>
          <w:p w14:paraId="6F03249F" w14:textId="77777777" w:rsidR="00B84D34" w:rsidRPr="001E7776" w:rsidRDefault="00B84D34" w:rsidP="00B84D34">
            <w:pPr>
              <w:rPr>
                <w:rFonts w:cs="Arial"/>
              </w:rPr>
            </w:pPr>
            <w:r w:rsidRPr="001E7776">
              <w:rPr>
                <w:rFonts w:cs="Arial"/>
              </w:rPr>
              <w:t>With dependent children</w:t>
            </w:r>
          </w:p>
        </w:tc>
        <w:tc>
          <w:tcPr>
            <w:tcW w:w="1209" w:type="pct"/>
            <w:shd w:val="clear" w:color="auto" w:fill="auto"/>
            <w:noWrap/>
            <w:hideMark/>
          </w:tcPr>
          <w:p w14:paraId="66A0E1E5" w14:textId="70C321DB" w:rsidR="00B84D34" w:rsidRPr="001E7776" w:rsidRDefault="00B84D34" w:rsidP="00B84D34">
            <w:pPr>
              <w:rPr>
                <w:rFonts w:cs="Arial"/>
              </w:rPr>
            </w:pPr>
            <w:r w:rsidRPr="00543606">
              <w:t>-2.6%</w:t>
            </w:r>
          </w:p>
        </w:tc>
        <w:tc>
          <w:tcPr>
            <w:tcW w:w="730" w:type="pct"/>
            <w:shd w:val="clear" w:color="auto" w:fill="auto"/>
            <w:noWrap/>
            <w:hideMark/>
          </w:tcPr>
          <w:p w14:paraId="4506EB07" w14:textId="7C67630A" w:rsidR="00B84D34" w:rsidRPr="001E7776" w:rsidRDefault="00B84D34" w:rsidP="00B84D34">
            <w:pPr>
              <w:rPr>
                <w:rFonts w:cs="Arial"/>
              </w:rPr>
            </w:pPr>
            <w:r w:rsidRPr="00543606">
              <w:t>1.1%</w:t>
            </w:r>
          </w:p>
        </w:tc>
        <w:tc>
          <w:tcPr>
            <w:tcW w:w="437" w:type="pct"/>
            <w:shd w:val="clear" w:color="auto" w:fill="auto"/>
            <w:noWrap/>
            <w:hideMark/>
          </w:tcPr>
          <w:p w14:paraId="35734768" w14:textId="77777777" w:rsidR="00B84D34" w:rsidRPr="001E7776" w:rsidRDefault="00B84D34" w:rsidP="00B84D34">
            <w:pPr>
              <w:rPr>
                <w:rFonts w:cs="Arial"/>
              </w:rPr>
            </w:pPr>
            <w:r w:rsidRPr="001E7776">
              <w:rPr>
                <w:rFonts w:cs="Arial"/>
              </w:rPr>
              <w:t>5.0%</w:t>
            </w:r>
          </w:p>
        </w:tc>
      </w:tr>
      <w:tr w:rsidR="00B84D34" w:rsidRPr="001E7776" w14:paraId="1C75595F" w14:textId="77777777" w:rsidTr="00B84D34">
        <w:trPr>
          <w:trHeight w:val="288"/>
        </w:trPr>
        <w:tc>
          <w:tcPr>
            <w:tcW w:w="1101" w:type="pct"/>
            <w:shd w:val="clear" w:color="auto" w:fill="auto"/>
            <w:noWrap/>
            <w:hideMark/>
          </w:tcPr>
          <w:p w14:paraId="371A8BDE" w14:textId="77777777" w:rsidR="00B84D34" w:rsidRPr="001E7776" w:rsidRDefault="00B84D34" w:rsidP="00B84D34">
            <w:pPr>
              <w:rPr>
                <w:rFonts w:cs="Arial"/>
              </w:rPr>
            </w:pPr>
          </w:p>
        </w:tc>
        <w:tc>
          <w:tcPr>
            <w:tcW w:w="1523" w:type="pct"/>
            <w:shd w:val="clear" w:color="auto" w:fill="auto"/>
            <w:noWrap/>
            <w:hideMark/>
          </w:tcPr>
          <w:p w14:paraId="10749BFE" w14:textId="77777777" w:rsidR="00B84D34" w:rsidRPr="001E7776" w:rsidRDefault="00B84D34" w:rsidP="00B84D34">
            <w:pPr>
              <w:rPr>
                <w:rFonts w:cs="Arial"/>
              </w:rPr>
            </w:pPr>
            <w:r w:rsidRPr="001E7776">
              <w:rPr>
                <w:rFonts w:cs="Arial"/>
              </w:rPr>
              <w:t>All children non-dependent</w:t>
            </w:r>
          </w:p>
        </w:tc>
        <w:tc>
          <w:tcPr>
            <w:tcW w:w="1209" w:type="pct"/>
            <w:shd w:val="clear" w:color="auto" w:fill="auto"/>
            <w:noWrap/>
            <w:hideMark/>
          </w:tcPr>
          <w:p w14:paraId="649118AB" w14:textId="72A8F76B" w:rsidR="00B84D34" w:rsidRPr="001E7776" w:rsidRDefault="00B84D34" w:rsidP="00B84D34">
            <w:pPr>
              <w:rPr>
                <w:rFonts w:cs="Arial"/>
              </w:rPr>
            </w:pPr>
            <w:r w:rsidRPr="00543606">
              <w:t>14.3%</w:t>
            </w:r>
          </w:p>
        </w:tc>
        <w:tc>
          <w:tcPr>
            <w:tcW w:w="730" w:type="pct"/>
            <w:shd w:val="clear" w:color="auto" w:fill="auto"/>
            <w:noWrap/>
            <w:hideMark/>
          </w:tcPr>
          <w:p w14:paraId="2D6C3735" w14:textId="4F1F9F71" w:rsidR="00B84D34" w:rsidRPr="001E7776" w:rsidRDefault="00B84D34" w:rsidP="00B84D34">
            <w:pPr>
              <w:rPr>
                <w:rFonts w:cs="Arial"/>
              </w:rPr>
            </w:pPr>
            <w:r w:rsidRPr="00543606">
              <w:t>7.2%</w:t>
            </w:r>
          </w:p>
        </w:tc>
        <w:tc>
          <w:tcPr>
            <w:tcW w:w="437" w:type="pct"/>
            <w:shd w:val="clear" w:color="auto" w:fill="auto"/>
            <w:noWrap/>
            <w:hideMark/>
          </w:tcPr>
          <w:p w14:paraId="2B8EB2FD" w14:textId="77777777" w:rsidR="00B84D34" w:rsidRPr="001E7776" w:rsidRDefault="00B84D34" w:rsidP="00B84D34">
            <w:pPr>
              <w:rPr>
                <w:rFonts w:cs="Arial"/>
              </w:rPr>
            </w:pPr>
            <w:r w:rsidRPr="001E7776">
              <w:rPr>
                <w:rFonts w:cs="Arial"/>
              </w:rPr>
              <w:t>10.6%</w:t>
            </w:r>
          </w:p>
        </w:tc>
      </w:tr>
      <w:tr w:rsidR="00B84D34" w:rsidRPr="001E7776" w14:paraId="1B2A95FC" w14:textId="77777777" w:rsidTr="00B84D34">
        <w:trPr>
          <w:trHeight w:val="288"/>
        </w:trPr>
        <w:tc>
          <w:tcPr>
            <w:tcW w:w="1101" w:type="pct"/>
            <w:shd w:val="clear" w:color="auto" w:fill="auto"/>
            <w:noWrap/>
            <w:hideMark/>
          </w:tcPr>
          <w:p w14:paraId="5CF25399" w14:textId="77777777" w:rsidR="00B84D34" w:rsidRPr="001E7776" w:rsidRDefault="00B84D34" w:rsidP="00B84D34">
            <w:pPr>
              <w:rPr>
                <w:rFonts w:cs="Arial"/>
              </w:rPr>
            </w:pPr>
            <w:r w:rsidRPr="001E7776">
              <w:rPr>
                <w:rFonts w:cs="Arial"/>
              </w:rPr>
              <w:t>Other household types</w:t>
            </w:r>
          </w:p>
        </w:tc>
        <w:tc>
          <w:tcPr>
            <w:tcW w:w="1523" w:type="pct"/>
            <w:shd w:val="clear" w:color="auto" w:fill="auto"/>
            <w:noWrap/>
            <w:hideMark/>
          </w:tcPr>
          <w:p w14:paraId="577DF65D" w14:textId="77777777" w:rsidR="00B84D34" w:rsidRPr="001E7776" w:rsidRDefault="00B84D34" w:rsidP="00B84D34">
            <w:pPr>
              <w:rPr>
                <w:rFonts w:cs="Arial"/>
              </w:rPr>
            </w:pPr>
            <w:r w:rsidRPr="001E7776">
              <w:rPr>
                <w:rFonts w:cs="Arial"/>
              </w:rPr>
              <w:t>Total</w:t>
            </w:r>
          </w:p>
        </w:tc>
        <w:tc>
          <w:tcPr>
            <w:tcW w:w="1209" w:type="pct"/>
            <w:shd w:val="clear" w:color="auto" w:fill="auto"/>
            <w:noWrap/>
            <w:hideMark/>
          </w:tcPr>
          <w:p w14:paraId="16612933" w14:textId="7CF27873" w:rsidR="00B84D34" w:rsidRPr="001E7776" w:rsidRDefault="00B84D34" w:rsidP="00B84D34">
            <w:pPr>
              <w:rPr>
                <w:rFonts w:cs="Arial"/>
              </w:rPr>
            </w:pPr>
            <w:r w:rsidRPr="00543606">
              <w:t>93.3%</w:t>
            </w:r>
          </w:p>
        </w:tc>
        <w:tc>
          <w:tcPr>
            <w:tcW w:w="730" w:type="pct"/>
            <w:shd w:val="clear" w:color="auto" w:fill="auto"/>
            <w:noWrap/>
            <w:hideMark/>
          </w:tcPr>
          <w:p w14:paraId="28765415" w14:textId="1632FE01" w:rsidR="00B84D34" w:rsidRPr="001E7776" w:rsidRDefault="00B84D34" w:rsidP="00B84D34">
            <w:pPr>
              <w:rPr>
                <w:rFonts w:cs="Arial"/>
              </w:rPr>
            </w:pPr>
            <w:r w:rsidRPr="00543606">
              <w:t>17.4%</w:t>
            </w:r>
          </w:p>
        </w:tc>
        <w:tc>
          <w:tcPr>
            <w:tcW w:w="437" w:type="pct"/>
            <w:shd w:val="clear" w:color="auto" w:fill="auto"/>
            <w:noWrap/>
            <w:hideMark/>
          </w:tcPr>
          <w:p w14:paraId="5E847934" w14:textId="77777777" w:rsidR="00B84D34" w:rsidRPr="001E7776" w:rsidRDefault="00B84D34" w:rsidP="00B84D34">
            <w:pPr>
              <w:rPr>
                <w:rFonts w:cs="Arial"/>
              </w:rPr>
            </w:pPr>
            <w:r w:rsidRPr="001E7776">
              <w:rPr>
                <w:rFonts w:cs="Arial"/>
              </w:rPr>
              <w:t>28.9%</w:t>
            </w:r>
          </w:p>
        </w:tc>
      </w:tr>
    </w:tbl>
    <w:p w14:paraId="4BC8B312" w14:textId="77777777" w:rsidR="001E7776" w:rsidRPr="001E7776" w:rsidRDefault="001E7776" w:rsidP="006E5E1E">
      <w:pPr>
        <w:pStyle w:val="Source"/>
        <w:rPr>
          <w:webHidden/>
        </w:rPr>
      </w:pPr>
      <w:r w:rsidRPr="001E7776">
        <w:rPr>
          <w:webHidden/>
        </w:rPr>
        <w:t xml:space="preserve">Source: ONS 2011, AECOM Calculations </w:t>
      </w:r>
    </w:p>
    <w:p w14:paraId="6D8AA12A" w14:textId="59B45B40" w:rsidR="001E7776" w:rsidRDefault="001E7776" w:rsidP="006E5E1E">
      <w:pPr>
        <w:pStyle w:val="ListNumber"/>
      </w:pPr>
      <w:r w:rsidRPr="001E7776">
        <w:t>It is important to note that whilst there are some contrast</w:t>
      </w:r>
      <w:r w:rsidR="004D2F3E">
        <w:t>s</w:t>
      </w:r>
      <w:r w:rsidRPr="001E7776">
        <w:t xml:space="preserve"> in the rates of change between the NA and the District, the change</w:t>
      </w:r>
      <w:r w:rsidR="004D2F3E">
        <w:t xml:space="preserve">s in absolute numbers within the NA are relatively small, </w:t>
      </w:r>
      <w:r w:rsidRPr="001E7776">
        <w:t xml:space="preserve">as seen in </w:t>
      </w:r>
      <w:r w:rsidRPr="001E7776">
        <w:fldChar w:fldCharType="begin"/>
      </w:r>
      <w:r w:rsidRPr="001E7776">
        <w:instrText xml:space="preserve"> REF _Ref7190653 \h  \* MERGEFORMAT </w:instrText>
      </w:r>
      <w:r w:rsidRPr="001E7776">
        <w:fldChar w:fldCharType="separate"/>
      </w:r>
      <w:r w:rsidR="004F6699" w:rsidRPr="004F6699">
        <w:t xml:space="preserve">Table </w:t>
      </w:r>
      <w:r w:rsidR="004F6699" w:rsidRPr="004F6699">
        <w:rPr>
          <w:noProof/>
        </w:rPr>
        <w:t>5</w:t>
      </w:r>
      <w:r w:rsidR="004F6699" w:rsidRPr="004F6699">
        <w:rPr>
          <w:noProof/>
        </w:rPr>
        <w:noBreakHyphen/>
        <w:t>8</w:t>
      </w:r>
      <w:r w:rsidRPr="001E7776">
        <w:fldChar w:fldCharType="end"/>
      </w:r>
      <w:r w:rsidR="004D2F3E">
        <w:t xml:space="preserve"> below.</w:t>
      </w:r>
      <w:r w:rsidRPr="001E7776">
        <w:t xml:space="preserve"> </w:t>
      </w:r>
    </w:p>
    <w:p w14:paraId="634BF0EB" w14:textId="73665C1B" w:rsidR="00AB5682" w:rsidRDefault="00AB5682">
      <w:pPr>
        <w:tabs>
          <w:tab w:val="clear" w:pos="284"/>
        </w:tabs>
        <w:spacing w:line="240" w:lineRule="auto"/>
        <w:rPr>
          <w:lang w:val="en-US"/>
        </w:rPr>
      </w:pPr>
      <w:r>
        <w:br w:type="page"/>
      </w:r>
    </w:p>
    <w:p w14:paraId="7A55AA1C" w14:textId="6D967426" w:rsidR="001E7776" w:rsidRPr="001E7776" w:rsidRDefault="001E7776" w:rsidP="001E7776">
      <w:pPr>
        <w:keepNext/>
        <w:spacing w:after="120"/>
        <w:ind w:left="425"/>
        <w:rPr>
          <w:rFonts w:asciiTheme="majorHAnsi" w:hAnsiTheme="majorHAnsi"/>
          <w:b/>
          <w:bCs/>
          <w:color w:val="00B5E2" w:themeColor="accent1"/>
          <w:sz w:val="20"/>
        </w:rPr>
      </w:pPr>
      <w:bookmarkStart w:id="116" w:name="_Ref7190653"/>
      <w:r w:rsidRPr="001E7776">
        <w:rPr>
          <w:rFonts w:asciiTheme="majorHAnsi" w:hAnsiTheme="majorHAnsi"/>
          <w:b/>
          <w:bCs/>
          <w:color w:val="00B5E2" w:themeColor="accent1"/>
          <w:sz w:val="20"/>
        </w:rPr>
        <w:lastRenderedPageBreak/>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8</w:t>
      </w:r>
      <w:r w:rsidRPr="001E7776">
        <w:rPr>
          <w:rFonts w:asciiTheme="majorHAnsi" w:hAnsiTheme="majorHAnsi"/>
          <w:b/>
          <w:bCs/>
          <w:noProof/>
          <w:color w:val="00B5E2" w:themeColor="accent1"/>
          <w:sz w:val="20"/>
        </w:rPr>
        <w:fldChar w:fldCharType="end"/>
      </w:r>
      <w:bookmarkEnd w:id="116"/>
      <w:r w:rsidRPr="001E7776">
        <w:rPr>
          <w:rFonts w:asciiTheme="majorHAnsi" w:hAnsiTheme="majorHAnsi"/>
          <w:b/>
          <w:bCs/>
          <w:color w:val="00B5E2" w:themeColor="accent1"/>
          <w:sz w:val="20"/>
        </w:rPr>
        <w:t xml:space="preserve">: Household composition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2001-2011</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854"/>
        <w:gridCol w:w="2015"/>
        <w:gridCol w:w="1399"/>
        <w:gridCol w:w="466"/>
        <w:gridCol w:w="933"/>
        <w:gridCol w:w="932"/>
        <w:gridCol w:w="467"/>
        <w:gridCol w:w="1399"/>
      </w:tblGrid>
      <w:tr w:rsidR="001E7776" w:rsidRPr="001E7776" w14:paraId="5DFADA65" w14:textId="77777777" w:rsidTr="00C75F48">
        <w:trPr>
          <w:trHeight w:val="288"/>
        </w:trPr>
        <w:tc>
          <w:tcPr>
            <w:tcW w:w="1854" w:type="dxa"/>
            <w:shd w:val="clear" w:color="auto" w:fill="000000"/>
            <w:noWrap/>
            <w:hideMark/>
          </w:tcPr>
          <w:p w14:paraId="436BFD11" w14:textId="77777777" w:rsidR="001E7776" w:rsidRPr="00C75F48" w:rsidRDefault="001E7776" w:rsidP="001E7776">
            <w:pPr>
              <w:rPr>
                <w:rFonts w:cs="Arial"/>
                <w:b/>
                <w:color w:val="FFFFFF" w:themeColor="background1"/>
              </w:rPr>
            </w:pPr>
            <w:r w:rsidRPr="00C75F48">
              <w:rPr>
                <w:rFonts w:cs="Arial"/>
                <w:b/>
                <w:color w:val="FFFFFF" w:themeColor="background1"/>
              </w:rPr>
              <w:t>Household type</w:t>
            </w:r>
          </w:p>
        </w:tc>
        <w:tc>
          <w:tcPr>
            <w:tcW w:w="2015" w:type="dxa"/>
            <w:shd w:val="clear" w:color="auto" w:fill="000000"/>
            <w:noWrap/>
            <w:hideMark/>
          </w:tcPr>
          <w:p w14:paraId="20D8499F" w14:textId="77777777" w:rsidR="001E7776" w:rsidRPr="00C75F48" w:rsidRDefault="001E7776" w:rsidP="001E7776">
            <w:pPr>
              <w:rPr>
                <w:rFonts w:cs="Arial"/>
                <w:b/>
                <w:color w:val="FFFFFF" w:themeColor="background1"/>
              </w:rPr>
            </w:pPr>
          </w:p>
        </w:tc>
        <w:tc>
          <w:tcPr>
            <w:tcW w:w="1865" w:type="dxa"/>
            <w:gridSpan w:val="2"/>
            <w:shd w:val="clear" w:color="auto" w:fill="000000"/>
            <w:noWrap/>
            <w:hideMark/>
          </w:tcPr>
          <w:p w14:paraId="248D2770" w14:textId="77777777" w:rsidR="001E7776" w:rsidRPr="00C75F48" w:rsidRDefault="001E7776" w:rsidP="001E7776">
            <w:pPr>
              <w:rPr>
                <w:rFonts w:cs="Arial"/>
                <w:b/>
                <w:color w:val="FFFFFF" w:themeColor="background1"/>
              </w:rPr>
            </w:pPr>
            <w:r w:rsidRPr="00C75F48">
              <w:rPr>
                <w:rFonts w:cs="Arial"/>
                <w:b/>
                <w:color w:val="FFFFFF" w:themeColor="background1"/>
              </w:rPr>
              <w:t>2001</w:t>
            </w:r>
          </w:p>
        </w:tc>
        <w:tc>
          <w:tcPr>
            <w:tcW w:w="1865" w:type="dxa"/>
            <w:gridSpan w:val="2"/>
            <w:shd w:val="clear" w:color="auto" w:fill="000000"/>
            <w:noWrap/>
            <w:hideMark/>
          </w:tcPr>
          <w:p w14:paraId="562EC2E3" w14:textId="77777777" w:rsidR="001E7776" w:rsidRPr="00C75F48" w:rsidRDefault="001E7776" w:rsidP="001E7776">
            <w:pPr>
              <w:rPr>
                <w:rFonts w:cs="Arial"/>
                <w:b/>
                <w:color w:val="FFFFFF" w:themeColor="background1"/>
              </w:rPr>
            </w:pPr>
            <w:r w:rsidRPr="00C75F48">
              <w:rPr>
                <w:rFonts w:cs="Arial"/>
                <w:b/>
                <w:color w:val="FFFFFF" w:themeColor="background1"/>
              </w:rPr>
              <w:t>2011</w:t>
            </w:r>
          </w:p>
        </w:tc>
        <w:tc>
          <w:tcPr>
            <w:tcW w:w="1866" w:type="dxa"/>
            <w:gridSpan w:val="2"/>
            <w:shd w:val="clear" w:color="auto" w:fill="000000"/>
          </w:tcPr>
          <w:p w14:paraId="5AF75814" w14:textId="77777777" w:rsidR="001E7776" w:rsidRPr="001E7776" w:rsidRDefault="001E7776" w:rsidP="001E7776">
            <w:pPr>
              <w:rPr>
                <w:rFonts w:cs="Arial"/>
                <w:b/>
                <w:color w:val="FFFFFF" w:themeColor="background1"/>
              </w:rPr>
            </w:pPr>
          </w:p>
        </w:tc>
      </w:tr>
      <w:tr w:rsidR="001E7776" w:rsidRPr="001E7776" w14:paraId="38C34375" w14:textId="77777777" w:rsidTr="00C75F48">
        <w:trPr>
          <w:trHeight w:val="288"/>
        </w:trPr>
        <w:tc>
          <w:tcPr>
            <w:tcW w:w="1854" w:type="dxa"/>
            <w:shd w:val="clear" w:color="auto" w:fill="000000"/>
            <w:noWrap/>
            <w:hideMark/>
          </w:tcPr>
          <w:p w14:paraId="7B993A71" w14:textId="77777777" w:rsidR="001E7776" w:rsidRPr="00C75F48" w:rsidRDefault="001E7776" w:rsidP="001E7776">
            <w:pPr>
              <w:rPr>
                <w:rFonts w:cs="Arial"/>
                <w:b/>
                <w:color w:val="FFFFFF" w:themeColor="background1"/>
              </w:rPr>
            </w:pPr>
          </w:p>
        </w:tc>
        <w:tc>
          <w:tcPr>
            <w:tcW w:w="2015" w:type="dxa"/>
            <w:shd w:val="clear" w:color="auto" w:fill="000000"/>
            <w:noWrap/>
            <w:hideMark/>
          </w:tcPr>
          <w:p w14:paraId="4063F484" w14:textId="77777777" w:rsidR="001E7776" w:rsidRPr="00C75F48" w:rsidRDefault="001E7776" w:rsidP="001E7776">
            <w:pPr>
              <w:rPr>
                <w:rFonts w:cs="Arial"/>
                <w:b/>
                <w:color w:val="FFFFFF" w:themeColor="background1"/>
              </w:rPr>
            </w:pPr>
          </w:p>
        </w:tc>
        <w:tc>
          <w:tcPr>
            <w:tcW w:w="1399" w:type="dxa"/>
            <w:shd w:val="clear" w:color="auto" w:fill="000000"/>
            <w:noWrap/>
            <w:vAlign w:val="center"/>
            <w:hideMark/>
          </w:tcPr>
          <w:p w14:paraId="55A84258" w14:textId="63CAF077" w:rsidR="001E7776" w:rsidRPr="00C75F48" w:rsidRDefault="00A61EB3" w:rsidP="001E7776">
            <w:pPr>
              <w:rPr>
                <w:rFonts w:cs="Arial"/>
                <w:b/>
                <w:color w:val="FFFFFF" w:themeColor="background1"/>
              </w:rPr>
            </w:pPr>
            <w:r w:rsidRPr="00C75F48">
              <w:rPr>
                <w:rFonts w:cs="Arial"/>
                <w:b/>
                <w:bCs/>
                <w:color w:val="FFFFFF" w:themeColor="background1"/>
                <w:szCs w:val="22"/>
              </w:rPr>
              <w:t>Copdock and Washbrook</w:t>
            </w:r>
          </w:p>
        </w:tc>
        <w:tc>
          <w:tcPr>
            <w:tcW w:w="1399" w:type="dxa"/>
            <w:gridSpan w:val="2"/>
            <w:shd w:val="clear" w:color="auto" w:fill="000000"/>
            <w:noWrap/>
            <w:vAlign w:val="center"/>
            <w:hideMark/>
          </w:tcPr>
          <w:p w14:paraId="3306145E" w14:textId="29698F97" w:rsidR="001E7776" w:rsidRPr="00C75F48" w:rsidRDefault="00A61EB3" w:rsidP="001E7776">
            <w:pPr>
              <w:rPr>
                <w:rFonts w:cs="Arial"/>
                <w:b/>
                <w:color w:val="FFFFFF" w:themeColor="background1"/>
              </w:rPr>
            </w:pPr>
            <w:r w:rsidRPr="00C75F48">
              <w:rPr>
                <w:rFonts w:cs="Arial"/>
                <w:b/>
                <w:bCs/>
                <w:color w:val="FFFFFF" w:themeColor="background1"/>
                <w:szCs w:val="22"/>
              </w:rPr>
              <w:t>Babergh</w:t>
            </w:r>
          </w:p>
        </w:tc>
        <w:tc>
          <w:tcPr>
            <w:tcW w:w="1399" w:type="dxa"/>
            <w:gridSpan w:val="2"/>
            <w:shd w:val="clear" w:color="auto" w:fill="000000"/>
            <w:noWrap/>
            <w:vAlign w:val="center"/>
            <w:hideMark/>
          </w:tcPr>
          <w:p w14:paraId="0B48314B" w14:textId="4202F836" w:rsidR="001E7776" w:rsidRPr="00C75F48" w:rsidRDefault="00A61EB3" w:rsidP="001E7776">
            <w:pPr>
              <w:rPr>
                <w:rFonts w:cs="Arial"/>
                <w:b/>
                <w:color w:val="FFFFFF" w:themeColor="background1"/>
              </w:rPr>
            </w:pPr>
            <w:r w:rsidRPr="00C75F48">
              <w:rPr>
                <w:rFonts w:cs="Arial"/>
                <w:b/>
                <w:bCs/>
                <w:color w:val="FFFFFF" w:themeColor="background1"/>
                <w:szCs w:val="22"/>
              </w:rPr>
              <w:t>Copdock and Washbrook</w:t>
            </w:r>
          </w:p>
        </w:tc>
        <w:tc>
          <w:tcPr>
            <w:tcW w:w="1399" w:type="dxa"/>
            <w:shd w:val="clear" w:color="auto" w:fill="000000"/>
            <w:vAlign w:val="center"/>
          </w:tcPr>
          <w:p w14:paraId="6B97C73C" w14:textId="5AE961E2" w:rsidR="001E7776" w:rsidRPr="001E7776" w:rsidRDefault="00A61EB3" w:rsidP="001E7776">
            <w:pPr>
              <w:rPr>
                <w:rFonts w:cs="Arial"/>
                <w:b/>
                <w:bCs/>
                <w:color w:val="FFFFFF" w:themeColor="background1"/>
                <w:szCs w:val="22"/>
              </w:rPr>
            </w:pPr>
            <w:r>
              <w:rPr>
                <w:rFonts w:cs="Arial"/>
                <w:b/>
                <w:bCs/>
                <w:color w:val="FFFFFF" w:themeColor="background1"/>
                <w:szCs w:val="22"/>
              </w:rPr>
              <w:t>Babergh</w:t>
            </w:r>
          </w:p>
        </w:tc>
      </w:tr>
      <w:tr w:rsidR="00C75F48" w:rsidRPr="001E7776" w14:paraId="0E08EE41" w14:textId="77777777" w:rsidTr="00C75F48">
        <w:trPr>
          <w:trHeight w:val="288"/>
        </w:trPr>
        <w:tc>
          <w:tcPr>
            <w:tcW w:w="1854" w:type="dxa"/>
            <w:shd w:val="clear" w:color="auto" w:fill="auto"/>
            <w:noWrap/>
            <w:hideMark/>
          </w:tcPr>
          <w:p w14:paraId="35FFA051" w14:textId="77777777" w:rsidR="00C75F48" w:rsidRPr="00C75F48" w:rsidRDefault="00C75F48" w:rsidP="00C75F48">
            <w:pPr>
              <w:rPr>
                <w:rFonts w:cs="Arial"/>
                <w:b/>
              </w:rPr>
            </w:pPr>
            <w:r w:rsidRPr="00C75F48">
              <w:rPr>
                <w:rFonts w:cs="Arial"/>
                <w:b/>
              </w:rPr>
              <w:t>One person household</w:t>
            </w:r>
          </w:p>
        </w:tc>
        <w:tc>
          <w:tcPr>
            <w:tcW w:w="2015" w:type="dxa"/>
            <w:shd w:val="clear" w:color="auto" w:fill="auto"/>
            <w:noWrap/>
            <w:hideMark/>
          </w:tcPr>
          <w:p w14:paraId="2AB621D6" w14:textId="77777777" w:rsidR="00C75F48" w:rsidRPr="00C75F48" w:rsidRDefault="00C75F48" w:rsidP="00C75F48">
            <w:pPr>
              <w:rPr>
                <w:rFonts w:cs="Arial"/>
                <w:b/>
              </w:rPr>
            </w:pPr>
            <w:r w:rsidRPr="00C75F48">
              <w:rPr>
                <w:rFonts w:cs="Arial"/>
                <w:b/>
              </w:rPr>
              <w:t>Total</w:t>
            </w:r>
          </w:p>
        </w:tc>
        <w:tc>
          <w:tcPr>
            <w:tcW w:w="1399" w:type="dxa"/>
            <w:shd w:val="clear" w:color="auto" w:fill="auto"/>
            <w:noWrap/>
          </w:tcPr>
          <w:p w14:paraId="283CE37D" w14:textId="4018F6DB" w:rsidR="00C75F48" w:rsidRPr="00C75F48" w:rsidRDefault="00C75F48" w:rsidP="00C75F48">
            <w:pPr>
              <w:rPr>
                <w:rFonts w:cs="Arial"/>
              </w:rPr>
            </w:pPr>
            <w:r w:rsidRPr="00C75F48">
              <w:t>450</w:t>
            </w:r>
          </w:p>
        </w:tc>
        <w:tc>
          <w:tcPr>
            <w:tcW w:w="1399" w:type="dxa"/>
            <w:gridSpan w:val="2"/>
            <w:shd w:val="clear" w:color="auto" w:fill="auto"/>
            <w:noWrap/>
          </w:tcPr>
          <w:p w14:paraId="42EFF698" w14:textId="0BDC7049" w:rsidR="00C75F48" w:rsidRPr="00C75F48" w:rsidRDefault="00C75F48" w:rsidP="00C75F48">
            <w:pPr>
              <w:rPr>
                <w:rFonts w:cs="Arial"/>
                <w:color w:val="FF0000"/>
              </w:rPr>
            </w:pPr>
            <w:r w:rsidRPr="00C75F48">
              <w:t>34865</w:t>
            </w:r>
          </w:p>
        </w:tc>
        <w:tc>
          <w:tcPr>
            <w:tcW w:w="1399" w:type="dxa"/>
            <w:gridSpan w:val="2"/>
            <w:shd w:val="clear" w:color="auto" w:fill="auto"/>
            <w:noWrap/>
          </w:tcPr>
          <w:p w14:paraId="0AD40A4D" w14:textId="123E00A4" w:rsidR="00C75F48" w:rsidRPr="00C75F48" w:rsidRDefault="00C75F48" w:rsidP="00C75F48">
            <w:pPr>
              <w:rPr>
                <w:rFonts w:cs="Arial"/>
                <w:color w:val="FF0000"/>
              </w:rPr>
            </w:pPr>
            <w:r w:rsidRPr="00C75F48">
              <w:t>452</w:t>
            </w:r>
          </w:p>
        </w:tc>
        <w:tc>
          <w:tcPr>
            <w:tcW w:w="1399" w:type="dxa"/>
          </w:tcPr>
          <w:p w14:paraId="039BE0BA" w14:textId="1B051C6A" w:rsidR="00C75F48" w:rsidRPr="00B84D34" w:rsidRDefault="00C75F48" w:rsidP="00C75F48">
            <w:pPr>
              <w:rPr>
                <w:rFonts w:cs="Arial"/>
                <w:color w:val="FF0000"/>
                <w:highlight w:val="yellow"/>
              </w:rPr>
            </w:pPr>
            <w:r w:rsidRPr="00EE140A">
              <w:t>37522</w:t>
            </w:r>
          </w:p>
        </w:tc>
      </w:tr>
      <w:tr w:rsidR="00C75F48" w:rsidRPr="001E7776" w14:paraId="71C1964F" w14:textId="77777777" w:rsidTr="00C75F48">
        <w:trPr>
          <w:trHeight w:val="288"/>
        </w:trPr>
        <w:tc>
          <w:tcPr>
            <w:tcW w:w="1854" w:type="dxa"/>
            <w:shd w:val="clear" w:color="auto" w:fill="auto"/>
            <w:noWrap/>
            <w:hideMark/>
          </w:tcPr>
          <w:p w14:paraId="07A8ED50" w14:textId="77777777" w:rsidR="00C75F48" w:rsidRPr="00C75F48" w:rsidRDefault="00C75F48" w:rsidP="00C75F48">
            <w:pPr>
              <w:rPr>
                <w:rFonts w:cs="Arial"/>
              </w:rPr>
            </w:pPr>
          </w:p>
        </w:tc>
        <w:tc>
          <w:tcPr>
            <w:tcW w:w="2015" w:type="dxa"/>
            <w:shd w:val="clear" w:color="auto" w:fill="auto"/>
            <w:noWrap/>
            <w:hideMark/>
          </w:tcPr>
          <w:p w14:paraId="76A4C44A" w14:textId="77777777" w:rsidR="00C75F48" w:rsidRPr="00C75F48" w:rsidRDefault="00C75F48" w:rsidP="00C75F48">
            <w:pPr>
              <w:rPr>
                <w:rFonts w:cs="Arial"/>
              </w:rPr>
            </w:pPr>
            <w:r w:rsidRPr="00C75F48">
              <w:rPr>
                <w:rFonts w:cs="Arial"/>
              </w:rPr>
              <w:t>Aged 65 and over</w:t>
            </w:r>
          </w:p>
        </w:tc>
        <w:tc>
          <w:tcPr>
            <w:tcW w:w="1399" w:type="dxa"/>
            <w:shd w:val="clear" w:color="auto" w:fill="auto"/>
            <w:noWrap/>
          </w:tcPr>
          <w:p w14:paraId="2A0B4DDC" w14:textId="1305B65C" w:rsidR="00C75F48" w:rsidRPr="00C75F48" w:rsidRDefault="00C75F48" w:rsidP="00C75F48">
            <w:pPr>
              <w:rPr>
                <w:rFonts w:cs="Arial"/>
              </w:rPr>
            </w:pPr>
            <w:r w:rsidRPr="00C75F48">
              <w:t>118</w:t>
            </w:r>
          </w:p>
        </w:tc>
        <w:tc>
          <w:tcPr>
            <w:tcW w:w="1399" w:type="dxa"/>
            <w:gridSpan w:val="2"/>
            <w:shd w:val="clear" w:color="auto" w:fill="auto"/>
            <w:noWrap/>
          </w:tcPr>
          <w:p w14:paraId="0EB6B7E2" w14:textId="5582DF08" w:rsidR="00C75F48" w:rsidRPr="00C75F48" w:rsidRDefault="00C75F48" w:rsidP="00C75F48">
            <w:pPr>
              <w:rPr>
                <w:rFonts w:cs="Arial"/>
                <w:color w:val="FF0000"/>
              </w:rPr>
            </w:pPr>
            <w:r w:rsidRPr="00C75F48">
              <w:t>9466</w:t>
            </w:r>
          </w:p>
        </w:tc>
        <w:tc>
          <w:tcPr>
            <w:tcW w:w="1399" w:type="dxa"/>
            <w:gridSpan w:val="2"/>
            <w:shd w:val="clear" w:color="auto" w:fill="auto"/>
            <w:noWrap/>
          </w:tcPr>
          <w:p w14:paraId="12B90D1B" w14:textId="2BB73E4C" w:rsidR="00C75F48" w:rsidRPr="00C75F48" w:rsidRDefault="00C75F48" w:rsidP="00C75F48">
            <w:pPr>
              <w:rPr>
                <w:rFonts w:cs="Arial"/>
                <w:color w:val="FF0000"/>
              </w:rPr>
            </w:pPr>
            <w:r w:rsidRPr="00C75F48">
              <w:t>123</w:t>
            </w:r>
          </w:p>
        </w:tc>
        <w:tc>
          <w:tcPr>
            <w:tcW w:w="1399" w:type="dxa"/>
          </w:tcPr>
          <w:p w14:paraId="60387A88" w14:textId="67723D89" w:rsidR="00C75F48" w:rsidRPr="00B84D34" w:rsidRDefault="00C75F48" w:rsidP="00C75F48">
            <w:pPr>
              <w:rPr>
                <w:rFonts w:cs="Arial"/>
                <w:color w:val="FF0000"/>
                <w:highlight w:val="yellow"/>
              </w:rPr>
            </w:pPr>
            <w:r w:rsidRPr="00EE140A">
              <w:t>10570</w:t>
            </w:r>
          </w:p>
        </w:tc>
      </w:tr>
      <w:tr w:rsidR="00C75F48" w:rsidRPr="001E7776" w14:paraId="62B6332D" w14:textId="77777777" w:rsidTr="00C75F48">
        <w:trPr>
          <w:trHeight w:val="288"/>
        </w:trPr>
        <w:tc>
          <w:tcPr>
            <w:tcW w:w="1854" w:type="dxa"/>
            <w:shd w:val="clear" w:color="auto" w:fill="auto"/>
            <w:noWrap/>
            <w:hideMark/>
          </w:tcPr>
          <w:p w14:paraId="2AB04BE9" w14:textId="77777777" w:rsidR="00C75F48" w:rsidRPr="00C75F48" w:rsidRDefault="00C75F48" w:rsidP="00C75F48">
            <w:pPr>
              <w:rPr>
                <w:rFonts w:cs="Arial"/>
              </w:rPr>
            </w:pPr>
          </w:p>
        </w:tc>
        <w:tc>
          <w:tcPr>
            <w:tcW w:w="2015" w:type="dxa"/>
            <w:shd w:val="clear" w:color="auto" w:fill="auto"/>
            <w:noWrap/>
            <w:hideMark/>
          </w:tcPr>
          <w:p w14:paraId="485D032F" w14:textId="77777777" w:rsidR="00C75F48" w:rsidRPr="00C75F48" w:rsidRDefault="00C75F48" w:rsidP="00C75F48">
            <w:pPr>
              <w:rPr>
                <w:rFonts w:cs="Arial"/>
              </w:rPr>
            </w:pPr>
            <w:r w:rsidRPr="00C75F48">
              <w:rPr>
                <w:rFonts w:cs="Arial"/>
              </w:rPr>
              <w:t>Other</w:t>
            </w:r>
          </w:p>
        </w:tc>
        <w:tc>
          <w:tcPr>
            <w:tcW w:w="1399" w:type="dxa"/>
            <w:shd w:val="clear" w:color="auto" w:fill="auto"/>
            <w:noWrap/>
          </w:tcPr>
          <w:p w14:paraId="334FFE3D" w14:textId="02281D83" w:rsidR="00C75F48" w:rsidRPr="00C75F48" w:rsidRDefault="00C75F48" w:rsidP="00C75F48">
            <w:pPr>
              <w:rPr>
                <w:rFonts w:cs="Arial"/>
              </w:rPr>
            </w:pPr>
            <w:r w:rsidRPr="00C75F48">
              <w:t>63</w:t>
            </w:r>
          </w:p>
        </w:tc>
        <w:tc>
          <w:tcPr>
            <w:tcW w:w="1399" w:type="dxa"/>
            <w:gridSpan w:val="2"/>
            <w:shd w:val="clear" w:color="auto" w:fill="auto"/>
            <w:noWrap/>
          </w:tcPr>
          <w:p w14:paraId="1ED92DAC" w14:textId="36DDA6A0" w:rsidR="00C75F48" w:rsidRPr="00C75F48" w:rsidRDefault="00C75F48" w:rsidP="00C75F48">
            <w:pPr>
              <w:rPr>
                <w:rFonts w:cs="Arial"/>
                <w:color w:val="FF0000"/>
              </w:rPr>
            </w:pPr>
            <w:r w:rsidRPr="00C75F48">
              <w:t>5212</w:t>
            </w:r>
          </w:p>
        </w:tc>
        <w:tc>
          <w:tcPr>
            <w:tcW w:w="1399" w:type="dxa"/>
            <w:gridSpan w:val="2"/>
            <w:shd w:val="clear" w:color="auto" w:fill="auto"/>
            <w:noWrap/>
          </w:tcPr>
          <w:p w14:paraId="0CB9EC37" w14:textId="7C83200D" w:rsidR="00C75F48" w:rsidRPr="00C75F48" w:rsidRDefault="00C75F48" w:rsidP="00C75F48">
            <w:pPr>
              <w:rPr>
                <w:rFonts w:cs="Arial"/>
                <w:color w:val="FF0000"/>
              </w:rPr>
            </w:pPr>
            <w:r w:rsidRPr="00C75F48">
              <w:t>62</w:t>
            </w:r>
          </w:p>
        </w:tc>
        <w:tc>
          <w:tcPr>
            <w:tcW w:w="1399" w:type="dxa"/>
          </w:tcPr>
          <w:p w14:paraId="53A7AD75" w14:textId="189A25CC" w:rsidR="00C75F48" w:rsidRPr="00B84D34" w:rsidRDefault="00C75F48" w:rsidP="00C75F48">
            <w:pPr>
              <w:rPr>
                <w:rFonts w:cs="Arial"/>
                <w:color w:val="FF0000"/>
                <w:highlight w:val="yellow"/>
              </w:rPr>
            </w:pPr>
            <w:r w:rsidRPr="00EE140A">
              <w:t>5306</w:t>
            </w:r>
          </w:p>
        </w:tc>
      </w:tr>
      <w:tr w:rsidR="00C75F48" w:rsidRPr="001E7776" w14:paraId="720AC154" w14:textId="77777777" w:rsidTr="00C75F48">
        <w:trPr>
          <w:trHeight w:val="288"/>
        </w:trPr>
        <w:tc>
          <w:tcPr>
            <w:tcW w:w="1854" w:type="dxa"/>
            <w:shd w:val="clear" w:color="auto" w:fill="auto"/>
            <w:noWrap/>
            <w:hideMark/>
          </w:tcPr>
          <w:p w14:paraId="02D61EBE" w14:textId="77777777" w:rsidR="00C75F48" w:rsidRPr="00C75F48" w:rsidRDefault="00C75F48" w:rsidP="00C75F48">
            <w:pPr>
              <w:rPr>
                <w:rFonts w:cs="Arial"/>
                <w:b/>
              </w:rPr>
            </w:pPr>
            <w:r w:rsidRPr="00C75F48">
              <w:rPr>
                <w:rFonts w:cs="Arial"/>
                <w:b/>
              </w:rPr>
              <w:t>One family only</w:t>
            </w:r>
          </w:p>
        </w:tc>
        <w:tc>
          <w:tcPr>
            <w:tcW w:w="2015" w:type="dxa"/>
            <w:shd w:val="clear" w:color="auto" w:fill="auto"/>
            <w:noWrap/>
            <w:hideMark/>
          </w:tcPr>
          <w:p w14:paraId="6B6606E2" w14:textId="77777777" w:rsidR="00C75F48" w:rsidRPr="00C75F48" w:rsidRDefault="00C75F48" w:rsidP="00C75F48">
            <w:pPr>
              <w:rPr>
                <w:rFonts w:cs="Arial"/>
                <w:b/>
              </w:rPr>
            </w:pPr>
            <w:r w:rsidRPr="00C75F48">
              <w:rPr>
                <w:rFonts w:cs="Arial"/>
                <w:b/>
              </w:rPr>
              <w:t>Total</w:t>
            </w:r>
          </w:p>
        </w:tc>
        <w:tc>
          <w:tcPr>
            <w:tcW w:w="1399" w:type="dxa"/>
            <w:shd w:val="clear" w:color="auto" w:fill="auto"/>
            <w:noWrap/>
          </w:tcPr>
          <w:p w14:paraId="4422FE38" w14:textId="201542CB" w:rsidR="00C75F48" w:rsidRPr="00C75F48" w:rsidRDefault="00C75F48" w:rsidP="00C75F48">
            <w:pPr>
              <w:rPr>
                <w:rFonts w:cs="Arial"/>
              </w:rPr>
            </w:pPr>
            <w:r w:rsidRPr="00C75F48">
              <w:t>55</w:t>
            </w:r>
          </w:p>
        </w:tc>
        <w:tc>
          <w:tcPr>
            <w:tcW w:w="1399" w:type="dxa"/>
            <w:gridSpan w:val="2"/>
            <w:shd w:val="clear" w:color="auto" w:fill="auto"/>
            <w:noWrap/>
          </w:tcPr>
          <w:p w14:paraId="0D7F8D54" w14:textId="05C0B7F6" w:rsidR="00C75F48" w:rsidRPr="00C75F48" w:rsidRDefault="00C75F48" w:rsidP="00C75F48">
            <w:pPr>
              <w:rPr>
                <w:rFonts w:cs="Arial"/>
                <w:color w:val="FF0000"/>
              </w:rPr>
            </w:pPr>
            <w:r w:rsidRPr="00C75F48">
              <w:t>4254</w:t>
            </w:r>
          </w:p>
        </w:tc>
        <w:tc>
          <w:tcPr>
            <w:tcW w:w="1399" w:type="dxa"/>
            <w:gridSpan w:val="2"/>
            <w:shd w:val="clear" w:color="auto" w:fill="auto"/>
            <w:noWrap/>
          </w:tcPr>
          <w:p w14:paraId="715D80F7" w14:textId="2DA85BBE" w:rsidR="00C75F48" w:rsidRPr="00C75F48" w:rsidRDefault="00C75F48" w:rsidP="00C75F48">
            <w:pPr>
              <w:rPr>
                <w:rFonts w:cs="Arial"/>
                <w:color w:val="FF0000"/>
              </w:rPr>
            </w:pPr>
            <w:r w:rsidRPr="00C75F48">
              <w:t>61</w:t>
            </w:r>
          </w:p>
        </w:tc>
        <w:tc>
          <w:tcPr>
            <w:tcW w:w="1399" w:type="dxa"/>
          </w:tcPr>
          <w:p w14:paraId="2B297F70" w14:textId="2403353C" w:rsidR="00C75F48" w:rsidRPr="00B84D34" w:rsidRDefault="00C75F48" w:rsidP="00C75F48">
            <w:pPr>
              <w:rPr>
                <w:rFonts w:cs="Arial"/>
                <w:color w:val="FF0000"/>
                <w:highlight w:val="yellow"/>
              </w:rPr>
            </w:pPr>
            <w:r w:rsidRPr="00EE140A">
              <w:t>5264</w:t>
            </w:r>
          </w:p>
        </w:tc>
      </w:tr>
      <w:tr w:rsidR="00C75F48" w:rsidRPr="001E7776" w14:paraId="0FA5BC9A" w14:textId="77777777" w:rsidTr="00C75F48">
        <w:trPr>
          <w:trHeight w:val="288"/>
        </w:trPr>
        <w:tc>
          <w:tcPr>
            <w:tcW w:w="1854" w:type="dxa"/>
            <w:shd w:val="clear" w:color="auto" w:fill="auto"/>
            <w:noWrap/>
            <w:hideMark/>
          </w:tcPr>
          <w:p w14:paraId="21A7A4F6" w14:textId="77777777" w:rsidR="00C75F48" w:rsidRPr="00C75F48" w:rsidRDefault="00C75F48" w:rsidP="00C75F48">
            <w:pPr>
              <w:rPr>
                <w:rFonts w:cs="Arial"/>
              </w:rPr>
            </w:pPr>
          </w:p>
        </w:tc>
        <w:tc>
          <w:tcPr>
            <w:tcW w:w="2015" w:type="dxa"/>
            <w:shd w:val="clear" w:color="auto" w:fill="auto"/>
            <w:noWrap/>
            <w:hideMark/>
          </w:tcPr>
          <w:p w14:paraId="37702525" w14:textId="77777777" w:rsidR="00C75F48" w:rsidRPr="00C75F48" w:rsidRDefault="00C75F48" w:rsidP="00C75F48">
            <w:pPr>
              <w:rPr>
                <w:rFonts w:cs="Arial"/>
              </w:rPr>
            </w:pPr>
            <w:r w:rsidRPr="00C75F48">
              <w:rPr>
                <w:rFonts w:cs="Arial"/>
              </w:rPr>
              <w:t>All aged 65 and over</w:t>
            </w:r>
          </w:p>
        </w:tc>
        <w:tc>
          <w:tcPr>
            <w:tcW w:w="1399" w:type="dxa"/>
            <w:shd w:val="clear" w:color="auto" w:fill="auto"/>
            <w:noWrap/>
          </w:tcPr>
          <w:p w14:paraId="644DC39F" w14:textId="5EDABFF0" w:rsidR="00C75F48" w:rsidRPr="00C75F48" w:rsidRDefault="00C75F48" w:rsidP="00C75F48">
            <w:pPr>
              <w:rPr>
                <w:rFonts w:cs="Arial"/>
              </w:rPr>
            </w:pPr>
            <w:r w:rsidRPr="00C75F48">
              <w:t>317</w:t>
            </w:r>
          </w:p>
        </w:tc>
        <w:tc>
          <w:tcPr>
            <w:tcW w:w="1399" w:type="dxa"/>
            <w:gridSpan w:val="2"/>
            <w:shd w:val="clear" w:color="auto" w:fill="auto"/>
            <w:noWrap/>
          </w:tcPr>
          <w:p w14:paraId="16569A08" w14:textId="377E2097" w:rsidR="00C75F48" w:rsidRPr="00C75F48" w:rsidRDefault="00C75F48" w:rsidP="00C75F48">
            <w:pPr>
              <w:rPr>
                <w:rFonts w:cs="Arial"/>
                <w:color w:val="FF0000"/>
              </w:rPr>
            </w:pPr>
            <w:r w:rsidRPr="00C75F48">
              <w:t>24097</w:t>
            </w:r>
          </w:p>
        </w:tc>
        <w:tc>
          <w:tcPr>
            <w:tcW w:w="1399" w:type="dxa"/>
            <w:gridSpan w:val="2"/>
            <w:shd w:val="clear" w:color="auto" w:fill="auto"/>
            <w:noWrap/>
          </w:tcPr>
          <w:p w14:paraId="135FF4A2" w14:textId="4B242C75" w:rsidR="00C75F48" w:rsidRPr="00C75F48" w:rsidRDefault="00C75F48" w:rsidP="00C75F48">
            <w:pPr>
              <w:rPr>
                <w:rFonts w:cs="Arial"/>
                <w:color w:val="FF0000"/>
              </w:rPr>
            </w:pPr>
            <w:r w:rsidRPr="00C75F48">
              <w:t>300</w:t>
            </w:r>
          </w:p>
        </w:tc>
        <w:tc>
          <w:tcPr>
            <w:tcW w:w="1399" w:type="dxa"/>
          </w:tcPr>
          <w:p w14:paraId="6338A884" w14:textId="7E393728" w:rsidR="00C75F48" w:rsidRPr="00B84D34" w:rsidRDefault="00C75F48" w:rsidP="00C75F48">
            <w:pPr>
              <w:rPr>
                <w:rFonts w:cs="Arial"/>
                <w:color w:val="FF0000"/>
                <w:highlight w:val="yellow"/>
              </w:rPr>
            </w:pPr>
            <w:r w:rsidRPr="00EE140A">
              <w:t>25424</w:t>
            </w:r>
          </w:p>
        </w:tc>
      </w:tr>
      <w:tr w:rsidR="00C75F48" w:rsidRPr="001E7776" w14:paraId="42CB4BC2" w14:textId="77777777" w:rsidTr="00C75F48">
        <w:trPr>
          <w:trHeight w:val="288"/>
        </w:trPr>
        <w:tc>
          <w:tcPr>
            <w:tcW w:w="1854" w:type="dxa"/>
            <w:shd w:val="clear" w:color="auto" w:fill="auto"/>
            <w:noWrap/>
            <w:hideMark/>
          </w:tcPr>
          <w:p w14:paraId="644121F5" w14:textId="77777777" w:rsidR="00C75F48" w:rsidRPr="00C75F48" w:rsidRDefault="00C75F48" w:rsidP="00C75F48">
            <w:pPr>
              <w:rPr>
                <w:rFonts w:cs="Arial"/>
              </w:rPr>
            </w:pPr>
          </w:p>
        </w:tc>
        <w:tc>
          <w:tcPr>
            <w:tcW w:w="2015" w:type="dxa"/>
            <w:shd w:val="clear" w:color="auto" w:fill="auto"/>
            <w:noWrap/>
            <w:hideMark/>
          </w:tcPr>
          <w:p w14:paraId="31C08ED1" w14:textId="77777777" w:rsidR="00C75F48" w:rsidRPr="00C75F48" w:rsidRDefault="00C75F48" w:rsidP="00C75F48">
            <w:pPr>
              <w:rPr>
                <w:rFonts w:cs="Arial"/>
              </w:rPr>
            </w:pPr>
            <w:r w:rsidRPr="00C75F48">
              <w:rPr>
                <w:rFonts w:cs="Arial"/>
              </w:rPr>
              <w:t>With no children</w:t>
            </w:r>
          </w:p>
        </w:tc>
        <w:tc>
          <w:tcPr>
            <w:tcW w:w="1399" w:type="dxa"/>
            <w:shd w:val="clear" w:color="auto" w:fill="auto"/>
            <w:noWrap/>
          </w:tcPr>
          <w:p w14:paraId="4333C776" w14:textId="23983B10" w:rsidR="00C75F48" w:rsidRPr="00C75F48" w:rsidRDefault="00C75F48" w:rsidP="00C75F48">
            <w:pPr>
              <w:rPr>
                <w:rFonts w:cs="Arial"/>
              </w:rPr>
            </w:pPr>
            <w:r w:rsidRPr="00C75F48">
              <w:t>57</w:t>
            </w:r>
          </w:p>
        </w:tc>
        <w:tc>
          <w:tcPr>
            <w:tcW w:w="1399" w:type="dxa"/>
            <w:gridSpan w:val="2"/>
            <w:shd w:val="clear" w:color="auto" w:fill="auto"/>
            <w:noWrap/>
          </w:tcPr>
          <w:p w14:paraId="3477C40C" w14:textId="0D27D977" w:rsidR="00C75F48" w:rsidRPr="00C75F48" w:rsidRDefault="00C75F48" w:rsidP="00C75F48">
            <w:pPr>
              <w:rPr>
                <w:rFonts w:cs="Arial"/>
                <w:color w:val="FF0000"/>
              </w:rPr>
            </w:pPr>
            <w:r w:rsidRPr="00C75F48">
              <w:t>4036</w:t>
            </w:r>
          </w:p>
        </w:tc>
        <w:tc>
          <w:tcPr>
            <w:tcW w:w="1399" w:type="dxa"/>
            <w:gridSpan w:val="2"/>
            <w:shd w:val="clear" w:color="auto" w:fill="auto"/>
            <w:noWrap/>
          </w:tcPr>
          <w:p w14:paraId="71A8D374" w14:textId="253B2B6D" w:rsidR="00C75F48" w:rsidRPr="00C75F48" w:rsidRDefault="00C75F48" w:rsidP="00C75F48">
            <w:pPr>
              <w:rPr>
                <w:rFonts w:cs="Arial"/>
                <w:color w:val="FF0000"/>
              </w:rPr>
            </w:pPr>
            <w:r w:rsidRPr="00C75F48">
              <w:t>50</w:t>
            </w:r>
          </w:p>
        </w:tc>
        <w:tc>
          <w:tcPr>
            <w:tcW w:w="1399" w:type="dxa"/>
          </w:tcPr>
          <w:p w14:paraId="74C4F3D6" w14:textId="462DCFA8" w:rsidR="00C75F48" w:rsidRPr="00B84D34" w:rsidRDefault="00C75F48" w:rsidP="00C75F48">
            <w:pPr>
              <w:rPr>
                <w:rFonts w:cs="Arial"/>
                <w:color w:val="FF0000"/>
                <w:highlight w:val="yellow"/>
              </w:rPr>
            </w:pPr>
            <w:r w:rsidRPr="00EE140A">
              <w:t>4407</w:t>
            </w:r>
          </w:p>
        </w:tc>
      </w:tr>
      <w:tr w:rsidR="00C75F48" w:rsidRPr="001E7776" w14:paraId="305F04F2" w14:textId="77777777" w:rsidTr="00C75F48">
        <w:trPr>
          <w:trHeight w:val="288"/>
        </w:trPr>
        <w:tc>
          <w:tcPr>
            <w:tcW w:w="1854" w:type="dxa"/>
            <w:shd w:val="clear" w:color="auto" w:fill="auto"/>
            <w:noWrap/>
            <w:hideMark/>
          </w:tcPr>
          <w:p w14:paraId="0C26246D" w14:textId="77777777" w:rsidR="00C75F48" w:rsidRPr="00C75F48" w:rsidRDefault="00C75F48" w:rsidP="00C75F48">
            <w:pPr>
              <w:rPr>
                <w:rFonts w:cs="Arial"/>
              </w:rPr>
            </w:pPr>
          </w:p>
        </w:tc>
        <w:tc>
          <w:tcPr>
            <w:tcW w:w="2015" w:type="dxa"/>
            <w:shd w:val="clear" w:color="auto" w:fill="auto"/>
            <w:noWrap/>
            <w:hideMark/>
          </w:tcPr>
          <w:p w14:paraId="2E501FFF" w14:textId="77777777" w:rsidR="00C75F48" w:rsidRPr="00C75F48" w:rsidRDefault="00C75F48" w:rsidP="00C75F48">
            <w:pPr>
              <w:rPr>
                <w:rFonts w:cs="Arial"/>
              </w:rPr>
            </w:pPr>
            <w:r w:rsidRPr="00C75F48">
              <w:rPr>
                <w:rFonts w:cs="Arial"/>
              </w:rPr>
              <w:t>With dependent children</w:t>
            </w:r>
          </w:p>
        </w:tc>
        <w:tc>
          <w:tcPr>
            <w:tcW w:w="1399" w:type="dxa"/>
            <w:shd w:val="clear" w:color="auto" w:fill="auto"/>
            <w:noWrap/>
          </w:tcPr>
          <w:p w14:paraId="52E84E88" w14:textId="7995F2B7" w:rsidR="00C75F48" w:rsidRPr="00C75F48" w:rsidRDefault="00C75F48" w:rsidP="00C75F48">
            <w:pPr>
              <w:rPr>
                <w:rFonts w:cs="Arial"/>
              </w:rPr>
            </w:pPr>
            <w:r w:rsidRPr="00C75F48">
              <w:t>101</w:t>
            </w:r>
          </w:p>
        </w:tc>
        <w:tc>
          <w:tcPr>
            <w:tcW w:w="1399" w:type="dxa"/>
            <w:gridSpan w:val="2"/>
            <w:shd w:val="clear" w:color="auto" w:fill="auto"/>
            <w:noWrap/>
          </w:tcPr>
          <w:p w14:paraId="35198987" w14:textId="30631369" w:rsidR="00C75F48" w:rsidRPr="00C75F48" w:rsidRDefault="00C75F48" w:rsidP="00C75F48">
            <w:pPr>
              <w:rPr>
                <w:rFonts w:cs="Arial"/>
                <w:color w:val="FF0000"/>
              </w:rPr>
            </w:pPr>
            <w:r w:rsidRPr="00C75F48">
              <w:t>7483</w:t>
            </w:r>
          </w:p>
        </w:tc>
        <w:tc>
          <w:tcPr>
            <w:tcW w:w="1399" w:type="dxa"/>
            <w:gridSpan w:val="2"/>
            <w:shd w:val="clear" w:color="auto" w:fill="auto"/>
            <w:noWrap/>
          </w:tcPr>
          <w:p w14:paraId="2FBDDCE1" w14:textId="7FEB9F17" w:rsidR="00C75F48" w:rsidRPr="00C75F48" w:rsidRDefault="00C75F48" w:rsidP="00C75F48">
            <w:pPr>
              <w:rPr>
                <w:rFonts w:cs="Arial"/>
                <w:color w:val="FF0000"/>
              </w:rPr>
            </w:pPr>
            <w:r w:rsidRPr="00C75F48">
              <w:t>88</w:t>
            </w:r>
          </w:p>
        </w:tc>
        <w:tc>
          <w:tcPr>
            <w:tcW w:w="1399" w:type="dxa"/>
          </w:tcPr>
          <w:p w14:paraId="21CF7F9A" w14:textId="65482DD5" w:rsidR="00C75F48" w:rsidRPr="00B84D34" w:rsidRDefault="00C75F48" w:rsidP="00C75F48">
            <w:pPr>
              <w:rPr>
                <w:rFonts w:cs="Arial"/>
                <w:color w:val="FF0000"/>
                <w:highlight w:val="yellow"/>
              </w:rPr>
            </w:pPr>
            <w:r w:rsidRPr="00EE140A">
              <w:t>8100</w:t>
            </w:r>
          </w:p>
        </w:tc>
      </w:tr>
      <w:tr w:rsidR="00C75F48" w:rsidRPr="001E7776" w14:paraId="69BDDB0B" w14:textId="77777777" w:rsidTr="00C75F48">
        <w:trPr>
          <w:trHeight w:val="288"/>
        </w:trPr>
        <w:tc>
          <w:tcPr>
            <w:tcW w:w="1854" w:type="dxa"/>
            <w:shd w:val="clear" w:color="auto" w:fill="auto"/>
            <w:noWrap/>
            <w:hideMark/>
          </w:tcPr>
          <w:p w14:paraId="484D9520" w14:textId="77777777" w:rsidR="00C75F48" w:rsidRPr="00C75F48" w:rsidRDefault="00C75F48" w:rsidP="00C75F48">
            <w:pPr>
              <w:rPr>
                <w:rFonts w:cs="Arial"/>
              </w:rPr>
            </w:pPr>
          </w:p>
        </w:tc>
        <w:tc>
          <w:tcPr>
            <w:tcW w:w="2015" w:type="dxa"/>
            <w:shd w:val="clear" w:color="auto" w:fill="auto"/>
            <w:noWrap/>
            <w:hideMark/>
          </w:tcPr>
          <w:p w14:paraId="635EC4F7" w14:textId="77777777" w:rsidR="00C75F48" w:rsidRPr="00C75F48" w:rsidRDefault="00C75F48" w:rsidP="00C75F48">
            <w:pPr>
              <w:rPr>
                <w:rFonts w:cs="Arial"/>
              </w:rPr>
            </w:pPr>
            <w:r w:rsidRPr="00C75F48">
              <w:rPr>
                <w:rFonts w:cs="Arial"/>
              </w:rPr>
              <w:t>All children non-dependent</w:t>
            </w:r>
          </w:p>
        </w:tc>
        <w:tc>
          <w:tcPr>
            <w:tcW w:w="1399" w:type="dxa"/>
            <w:shd w:val="clear" w:color="auto" w:fill="auto"/>
            <w:noWrap/>
          </w:tcPr>
          <w:p w14:paraId="45B7177D" w14:textId="02A32EB3" w:rsidR="00C75F48" w:rsidRPr="00C75F48" w:rsidRDefault="00C75F48" w:rsidP="00C75F48">
            <w:pPr>
              <w:rPr>
                <w:rFonts w:cs="Arial"/>
              </w:rPr>
            </w:pPr>
            <w:r w:rsidRPr="00C75F48">
              <w:t>117</w:t>
            </w:r>
          </w:p>
        </w:tc>
        <w:tc>
          <w:tcPr>
            <w:tcW w:w="1399" w:type="dxa"/>
            <w:gridSpan w:val="2"/>
            <w:shd w:val="clear" w:color="auto" w:fill="auto"/>
            <w:noWrap/>
          </w:tcPr>
          <w:p w14:paraId="1C0CF57F" w14:textId="3304D795" w:rsidR="00C75F48" w:rsidRPr="00C75F48" w:rsidRDefault="00C75F48" w:rsidP="00C75F48">
            <w:pPr>
              <w:rPr>
                <w:rFonts w:cs="Arial"/>
                <w:color w:val="FF0000"/>
              </w:rPr>
            </w:pPr>
            <w:r w:rsidRPr="00C75F48">
              <w:t>9352</w:t>
            </w:r>
          </w:p>
        </w:tc>
        <w:tc>
          <w:tcPr>
            <w:tcW w:w="1399" w:type="dxa"/>
            <w:gridSpan w:val="2"/>
            <w:shd w:val="clear" w:color="auto" w:fill="auto"/>
            <w:noWrap/>
          </w:tcPr>
          <w:p w14:paraId="3832CFDF" w14:textId="38E77282" w:rsidR="00C75F48" w:rsidRPr="00C75F48" w:rsidRDefault="00C75F48" w:rsidP="00C75F48">
            <w:pPr>
              <w:rPr>
                <w:rFonts w:cs="Arial"/>
                <w:color w:val="FF0000"/>
              </w:rPr>
            </w:pPr>
            <w:r w:rsidRPr="00C75F48">
              <w:t>114</w:t>
            </w:r>
          </w:p>
        </w:tc>
        <w:tc>
          <w:tcPr>
            <w:tcW w:w="1399" w:type="dxa"/>
          </w:tcPr>
          <w:p w14:paraId="105D6379" w14:textId="5EA7B154" w:rsidR="00C75F48" w:rsidRPr="00B84D34" w:rsidRDefault="00C75F48" w:rsidP="00C75F48">
            <w:pPr>
              <w:rPr>
                <w:rFonts w:cs="Arial"/>
                <w:color w:val="FF0000"/>
                <w:highlight w:val="yellow"/>
              </w:rPr>
            </w:pPr>
            <w:r w:rsidRPr="00EE140A">
              <w:t>9458</w:t>
            </w:r>
          </w:p>
        </w:tc>
      </w:tr>
      <w:tr w:rsidR="00C75F48" w:rsidRPr="001E7776" w14:paraId="4408EB84" w14:textId="77777777" w:rsidTr="00C75F48">
        <w:trPr>
          <w:trHeight w:val="288"/>
        </w:trPr>
        <w:tc>
          <w:tcPr>
            <w:tcW w:w="1854" w:type="dxa"/>
            <w:shd w:val="clear" w:color="auto" w:fill="auto"/>
            <w:noWrap/>
            <w:hideMark/>
          </w:tcPr>
          <w:p w14:paraId="338916C7" w14:textId="77777777" w:rsidR="00C75F48" w:rsidRPr="00C75F48" w:rsidRDefault="00C75F48" w:rsidP="00C75F48">
            <w:pPr>
              <w:rPr>
                <w:rFonts w:cs="Arial"/>
              </w:rPr>
            </w:pPr>
            <w:r w:rsidRPr="00C75F48">
              <w:rPr>
                <w:rFonts w:cs="Arial"/>
              </w:rPr>
              <w:t>Other household types</w:t>
            </w:r>
          </w:p>
        </w:tc>
        <w:tc>
          <w:tcPr>
            <w:tcW w:w="2015" w:type="dxa"/>
            <w:shd w:val="clear" w:color="auto" w:fill="auto"/>
            <w:noWrap/>
            <w:hideMark/>
          </w:tcPr>
          <w:p w14:paraId="2D3BABB5" w14:textId="77777777" w:rsidR="00C75F48" w:rsidRPr="00C75F48" w:rsidRDefault="00C75F48" w:rsidP="00C75F48">
            <w:pPr>
              <w:rPr>
                <w:rFonts w:cs="Arial"/>
              </w:rPr>
            </w:pPr>
            <w:r w:rsidRPr="00C75F48">
              <w:rPr>
                <w:rFonts w:cs="Arial"/>
              </w:rPr>
              <w:t>Total</w:t>
            </w:r>
          </w:p>
        </w:tc>
        <w:tc>
          <w:tcPr>
            <w:tcW w:w="1399" w:type="dxa"/>
            <w:shd w:val="clear" w:color="auto" w:fill="auto"/>
            <w:noWrap/>
          </w:tcPr>
          <w:p w14:paraId="6537094E" w14:textId="68DED743" w:rsidR="00C75F48" w:rsidRPr="00C75F48" w:rsidRDefault="00C75F48" w:rsidP="00C75F48">
            <w:pPr>
              <w:rPr>
                <w:rFonts w:cs="Arial"/>
              </w:rPr>
            </w:pPr>
            <w:r w:rsidRPr="00C75F48">
              <w:t>42</w:t>
            </w:r>
          </w:p>
        </w:tc>
        <w:tc>
          <w:tcPr>
            <w:tcW w:w="1399" w:type="dxa"/>
            <w:gridSpan w:val="2"/>
            <w:shd w:val="clear" w:color="auto" w:fill="auto"/>
            <w:noWrap/>
          </w:tcPr>
          <w:p w14:paraId="0B6CEB47" w14:textId="207AB085" w:rsidR="00C75F48" w:rsidRPr="00C75F48" w:rsidRDefault="00C75F48" w:rsidP="00C75F48">
            <w:pPr>
              <w:rPr>
                <w:rFonts w:cs="Arial"/>
                <w:color w:val="FF0000"/>
              </w:rPr>
            </w:pPr>
            <w:r w:rsidRPr="00C75F48">
              <w:t>3226</w:t>
            </w:r>
          </w:p>
        </w:tc>
        <w:tc>
          <w:tcPr>
            <w:tcW w:w="1399" w:type="dxa"/>
            <w:gridSpan w:val="2"/>
            <w:shd w:val="clear" w:color="auto" w:fill="auto"/>
            <w:noWrap/>
          </w:tcPr>
          <w:p w14:paraId="6C8AB285" w14:textId="326F2793" w:rsidR="00C75F48" w:rsidRPr="00C75F48" w:rsidRDefault="00C75F48" w:rsidP="00C75F48">
            <w:pPr>
              <w:rPr>
                <w:rFonts w:cs="Arial"/>
                <w:color w:val="FF0000"/>
              </w:rPr>
            </w:pPr>
            <w:r w:rsidRPr="00C75F48">
              <w:t>48</w:t>
            </w:r>
          </w:p>
        </w:tc>
        <w:tc>
          <w:tcPr>
            <w:tcW w:w="1399" w:type="dxa"/>
          </w:tcPr>
          <w:p w14:paraId="1FEF8D35" w14:textId="64109106" w:rsidR="00C75F48" w:rsidRPr="00B84D34" w:rsidRDefault="00C75F48" w:rsidP="00C75F48">
            <w:pPr>
              <w:rPr>
                <w:rFonts w:cs="Arial"/>
                <w:color w:val="FF0000"/>
                <w:highlight w:val="yellow"/>
              </w:rPr>
            </w:pPr>
            <w:r w:rsidRPr="00EE140A">
              <w:t>3459</w:t>
            </w:r>
          </w:p>
        </w:tc>
      </w:tr>
    </w:tbl>
    <w:p w14:paraId="254008D0" w14:textId="77777777" w:rsidR="001E7776" w:rsidRPr="001E7776" w:rsidRDefault="001E7776" w:rsidP="006E5E1E">
      <w:pPr>
        <w:pStyle w:val="Source"/>
        <w:rPr>
          <w:webHidden/>
        </w:rPr>
      </w:pPr>
      <w:r w:rsidRPr="001E7776">
        <w:rPr>
          <w:webHidden/>
        </w:rPr>
        <w:t xml:space="preserve">Source: ONS 2011, AECOM Calculations </w:t>
      </w:r>
    </w:p>
    <w:p w14:paraId="249ECF95" w14:textId="77777777" w:rsidR="001E7776" w:rsidRPr="001E7776" w:rsidRDefault="001E7776" w:rsidP="006E5E1E">
      <w:pPr>
        <w:pStyle w:val="Heading2"/>
      </w:pPr>
      <w:bookmarkStart w:id="117" w:name="_Toc532559202"/>
      <w:bookmarkStart w:id="118" w:name="_Toc606608"/>
      <w:bookmarkStart w:id="119" w:name="_Toc5370479"/>
      <w:bookmarkStart w:id="120" w:name="_Toc7379596"/>
      <w:bookmarkStart w:id="121" w:name="_Toc7789756"/>
      <w:r w:rsidRPr="001E7776">
        <w:t>Dwelling mix determined by life-stage modelling</w:t>
      </w:r>
      <w:bookmarkEnd w:id="117"/>
      <w:bookmarkEnd w:id="118"/>
      <w:bookmarkEnd w:id="119"/>
      <w:bookmarkEnd w:id="120"/>
      <w:bookmarkEnd w:id="121"/>
    </w:p>
    <w:p w14:paraId="7B8E4D8F" w14:textId="771D81E2" w:rsidR="001E7776" w:rsidRPr="006E5E1E" w:rsidRDefault="001E7776" w:rsidP="00D56987">
      <w:pPr>
        <w:pStyle w:val="ListNumber"/>
        <w:jc w:val="both"/>
      </w:pPr>
      <w:r w:rsidRPr="006E5E1E">
        <w:t xml:space="preserve">In this section, we provide an estimate of the mix of </w:t>
      </w:r>
      <w:r w:rsidR="004D2F3E">
        <w:t xml:space="preserve">home </w:t>
      </w:r>
      <w:r w:rsidRPr="006E5E1E">
        <w:t xml:space="preserve">sizes needed by the end of the Plan period by matching future household composition to current patterns of occupation by age (working from the </w:t>
      </w:r>
      <w:r w:rsidR="004D2F3E">
        <w:t xml:space="preserve">reasonable </w:t>
      </w:r>
      <w:r w:rsidRPr="006E5E1E">
        <w:t xml:space="preserve">assumption set out at the start of this section, in the absence of evidence to the contrary, that the same household types are likely to wish to occupy the same size of homes in </w:t>
      </w:r>
      <w:r w:rsidR="00B815D7">
        <w:t>2036</w:t>
      </w:r>
      <w:r w:rsidRPr="006E5E1E">
        <w:t xml:space="preserve"> as they did in 2011).</w:t>
      </w:r>
    </w:p>
    <w:p w14:paraId="1D425D43" w14:textId="420CC0EC" w:rsidR="001E7776" w:rsidRPr="006E5E1E" w:rsidRDefault="001E7776" w:rsidP="00D56987">
      <w:pPr>
        <w:pStyle w:val="ListNumber"/>
        <w:jc w:val="both"/>
        <w:rPr>
          <w:rFonts w:cs="Arial"/>
          <w:b/>
          <w:sz w:val="22"/>
          <w:szCs w:val="22"/>
        </w:rPr>
      </w:pPr>
      <w:r w:rsidRPr="006E5E1E">
        <w:t>First, we use household projections provided by MHCLG to achieve an understanding of the future distribution of households by the age of the Household Reference Person (HRP</w:t>
      </w:r>
      <w:r w:rsidR="004D2F3E">
        <w:t>- this is a more modern term for ‘head of household’</w:t>
      </w:r>
      <w:r w:rsidRPr="006E5E1E">
        <w:t xml:space="preserve">). This data is only available at the District level and for the years 2014 and 2039. Therefore, we </w:t>
      </w:r>
      <w:r w:rsidR="004D2F3E">
        <w:t xml:space="preserve">have </w:t>
      </w:r>
      <w:r w:rsidRPr="006E5E1E">
        <w:t>estimate</w:t>
      </w:r>
      <w:r w:rsidR="004D2F3E">
        <w:t>d</w:t>
      </w:r>
      <w:r w:rsidRPr="006E5E1E">
        <w:t xml:space="preserve"> what the distribution of households, by the age of the HRP, would be in </w:t>
      </w:r>
      <w:r w:rsidR="00B815D7">
        <w:t>2036</w:t>
      </w:r>
      <w:r w:rsidR="004D2F3E">
        <w:t>, and highlighted that line in red to indicate it is an estimate</w:t>
      </w:r>
      <w:r w:rsidRPr="006E5E1E">
        <w:t xml:space="preserve">. The data is presented in </w:t>
      </w:r>
      <w:r w:rsidRPr="00D56987">
        <w:fldChar w:fldCharType="begin"/>
      </w:r>
      <w:r w:rsidRPr="004D2F3E">
        <w:instrText xml:space="preserve"> REF _Ref535318997 \h </w:instrText>
      </w:r>
      <w:r w:rsidR="004D2F3E" w:rsidRPr="00D56987">
        <w:instrText xml:space="preserve"> \* MERGEFORMAT </w:instrText>
      </w:r>
      <w:r w:rsidRPr="00D56987">
        <w:fldChar w:fldCharType="separate"/>
      </w:r>
      <w:r w:rsidR="004F6699" w:rsidRPr="00D56987">
        <w:rPr>
          <w:rFonts w:asciiTheme="majorHAnsi" w:hAnsiTheme="majorHAnsi"/>
          <w:bCs/>
        </w:rPr>
        <w:t xml:space="preserve">Table </w:t>
      </w:r>
      <w:r w:rsidR="004F6699" w:rsidRPr="00D56987">
        <w:rPr>
          <w:rFonts w:asciiTheme="majorHAnsi" w:hAnsiTheme="majorHAnsi"/>
          <w:bCs/>
          <w:noProof/>
        </w:rPr>
        <w:t>5</w:t>
      </w:r>
      <w:r w:rsidR="004F6699" w:rsidRPr="00D56987">
        <w:rPr>
          <w:rFonts w:asciiTheme="majorHAnsi" w:hAnsiTheme="majorHAnsi"/>
          <w:bCs/>
        </w:rPr>
        <w:noBreakHyphen/>
      </w:r>
      <w:r w:rsidR="004F6699" w:rsidRPr="00D56987">
        <w:rPr>
          <w:rFonts w:asciiTheme="majorHAnsi" w:hAnsiTheme="majorHAnsi"/>
          <w:bCs/>
          <w:noProof/>
        </w:rPr>
        <w:t>9</w:t>
      </w:r>
      <w:r w:rsidRPr="00D56987">
        <w:fldChar w:fldCharType="end"/>
      </w:r>
      <w:r w:rsidRPr="006E5E1E">
        <w:t xml:space="preserve"> below.</w:t>
      </w:r>
    </w:p>
    <w:p w14:paraId="1600A5FD" w14:textId="03398588" w:rsidR="001E7776" w:rsidRPr="001E7776" w:rsidRDefault="001E7776" w:rsidP="001E7776">
      <w:pPr>
        <w:keepNext/>
        <w:spacing w:after="120"/>
        <w:ind w:left="426"/>
        <w:rPr>
          <w:rFonts w:asciiTheme="majorHAnsi" w:hAnsiTheme="majorHAnsi"/>
          <w:b/>
          <w:bCs/>
          <w:color w:val="00B5E2" w:themeColor="accent1"/>
          <w:sz w:val="20"/>
        </w:rPr>
      </w:pPr>
      <w:bookmarkStart w:id="122" w:name="_Ref535318997"/>
      <w:bookmarkStart w:id="123" w:name="_Ref535318989"/>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9</w:t>
      </w:r>
      <w:r w:rsidRPr="001E7776">
        <w:rPr>
          <w:rFonts w:asciiTheme="majorHAnsi" w:hAnsiTheme="majorHAnsi"/>
          <w:b/>
          <w:bCs/>
          <w:noProof/>
          <w:color w:val="00B5E2" w:themeColor="accent1"/>
          <w:sz w:val="20"/>
        </w:rPr>
        <w:fldChar w:fldCharType="end"/>
      </w:r>
      <w:bookmarkEnd w:id="122"/>
      <w:r w:rsidRPr="001E7776">
        <w:rPr>
          <w:rFonts w:asciiTheme="majorHAnsi" w:hAnsiTheme="majorHAnsi"/>
          <w:b/>
          <w:bCs/>
          <w:color w:val="00B5E2" w:themeColor="accent1"/>
          <w:sz w:val="20"/>
        </w:rPr>
        <w:t>: Projected distribution of households by age of HRP (</w:t>
      </w:r>
      <w:r w:rsidR="00A61EB3">
        <w:rPr>
          <w:rFonts w:asciiTheme="majorHAnsi" w:hAnsiTheme="majorHAnsi"/>
          <w:b/>
          <w:bCs/>
          <w:color w:val="00B5E2" w:themeColor="accent1"/>
          <w:sz w:val="20"/>
        </w:rPr>
        <w:t>Babergh</w:t>
      </w:r>
      <w:r w:rsidRPr="001E7776">
        <w:rPr>
          <w:rFonts w:asciiTheme="majorHAnsi" w:hAnsiTheme="majorHAnsi"/>
          <w:b/>
          <w:bCs/>
          <w:color w:val="00B5E2" w:themeColor="accent1"/>
          <w:sz w:val="20"/>
        </w:rPr>
        <w:t>)</w:t>
      </w:r>
      <w:bookmarkEnd w:id="123"/>
    </w:p>
    <w:tbl>
      <w:tblPr>
        <w:tblW w:w="4734" w:type="pct"/>
        <w:tblInd w:w="534" w:type="dxa"/>
        <w:tblLayout w:type="fixed"/>
        <w:tblLook w:val="04A0" w:firstRow="1" w:lastRow="0" w:firstColumn="1" w:lastColumn="0" w:noHBand="0" w:noVBand="1"/>
      </w:tblPr>
      <w:tblGrid>
        <w:gridCol w:w="2092"/>
        <w:gridCol w:w="1487"/>
        <w:gridCol w:w="1484"/>
        <w:gridCol w:w="1484"/>
        <w:gridCol w:w="1484"/>
        <w:gridCol w:w="1484"/>
      </w:tblGrid>
      <w:tr w:rsidR="001E7776" w:rsidRPr="001E7776" w14:paraId="1AD80566" w14:textId="77777777" w:rsidTr="001E7776">
        <w:trPr>
          <w:trHeight w:val="288"/>
        </w:trPr>
        <w:tc>
          <w:tcPr>
            <w:tcW w:w="1099" w:type="pct"/>
            <w:tcBorders>
              <w:top w:val="single" w:sz="4" w:space="0" w:color="auto"/>
              <w:left w:val="single" w:sz="4" w:space="0" w:color="auto"/>
              <w:bottom w:val="single" w:sz="4" w:space="0" w:color="auto"/>
              <w:right w:val="single" w:sz="4" w:space="0" w:color="auto"/>
            </w:tcBorders>
            <w:shd w:val="clear" w:color="auto" w:fill="000000"/>
            <w:noWrap/>
            <w:vAlign w:val="center"/>
            <w:hideMark/>
          </w:tcPr>
          <w:p w14:paraId="31EC9BCD" w14:textId="77777777" w:rsidR="001E7776" w:rsidRPr="001E7776" w:rsidRDefault="001E7776" w:rsidP="001E7776">
            <w:pPr>
              <w:tabs>
                <w:tab w:val="clear" w:pos="284"/>
              </w:tabs>
              <w:spacing w:line="240" w:lineRule="auto"/>
              <w:rPr>
                <w:rFonts w:eastAsia="Times New Roman" w:cs="Arial"/>
                <w:color w:val="000000"/>
                <w:kern w:val="0"/>
                <w:lang w:eastAsia="en-GB"/>
              </w:rPr>
            </w:pPr>
            <w:r w:rsidRPr="001E7776">
              <w:rPr>
                <w:rFonts w:eastAsia="Times New Roman" w:cs="Arial"/>
                <w:color w:val="000000"/>
                <w:kern w:val="0"/>
                <w:lang w:eastAsia="en-GB"/>
              </w:rPr>
              <w:t> </w:t>
            </w:r>
          </w:p>
        </w:tc>
        <w:tc>
          <w:tcPr>
            <w:tcW w:w="781" w:type="pct"/>
            <w:tcBorders>
              <w:top w:val="single" w:sz="4" w:space="0" w:color="auto"/>
              <w:left w:val="nil"/>
              <w:bottom w:val="single" w:sz="4" w:space="0" w:color="auto"/>
              <w:right w:val="single" w:sz="4" w:space="0" w:color="auto"/>
            </w:tcBorders>
            <w:shd w:val="clear" w:color="000000" w:fill="000000"/>
            <w:noWrap/>
            <w:vAlign w:val="center"/>
            <w:hideMark/>
          </w:tcPr>
          <w:p w14:paraId="5D21C67C"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24 and under</w:t>
            </w:r>
          </w:p>
        </w:tc>
        <w:tc>
          <w:tcPr>
            <w:tcW w:w="780" w:type="pct"/>
            <w:tcBorders>
              <w:top w:val="single" w:sz="4" w:space="0" w:color="auto"/>
              <w:left w:val="nil"/>
              <w:bottom w:val="single" w:sz="4" w:space="0" w:color="auto"/>
              <w:right w:val="single" w:sz="4" w:space="0" w:color="auto"/>
            </w:tcBorders>
            <w:shd w:val="clear" w:color="000000" w:fill="000000"/>
            <w:noWrap/>
            <w:vAlign w:val="center"/>
            <w:hideMark/>
          </w:tcPr>
          <w:p w14:paraId="73C87A08"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25 to 34</w:t>
            </w:r>
          </w:p>
        </w:tc>
        <w:tc>
          <w:tcPr>
            <w:tcW w:w="780" w:type="pct"/>
            <w:tcBorders>
              <w:top w:val="single" w:sz="4" w:space="0" w:color="auto"/>
              <w:left w:val="nil"/>
              <w:bottom w:val="single" w:sz="4" w:space="0" w:color="auto"/>
              <w:right w:val="single" w:sz="4" w:space="0" w:color="auto"/>
            </w:tcBorders>
            <w:shd w:val="clear" w:color="000000" w:fill="000000"/>
            <w:noWrap/>
            <w:vAlign w:val="center"/>
            <w:hideMark/>
          </w:tcPr>
          <w:p w14:paraId="6CFE6FD4"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35 to 54</w:t>
            </w:r>
          </w:p>
        </w:tc>
        <w:tc>
          <w:tcPr>
            <w:tcW w:w="780" w:type="pct"/>
            <w:tcBorders>
              <w:top w:val="single" w:sz="4" w:space="0" w:color="auto"/>
              <w:left w:val="nil"/>
              <w:bottom w:val="single" w:sz="4" w:space="0" w:color="auto"/>
              <w:right w:val="single" w:sz="4" w:space="0" w:color="auto"/>
            </w:tcBorders>
            <w:shd w:val="clear" w:color="000000" w:fill="000000"/>
            <w:noWrap/>
            <w:vAlign w:val="center"/>
            <w:hideMark/>
          </w:tcPr>
          <w:p w14:paraId="7814F9A5"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55 to 64</w:t>
            </w:r>
          </w:p>
        </w:tc>
        <w:tc>
          <w:tcPr>
            <w:tcW w:w="780" w:type="pct"/>
            <w:tcBorders>
              <w:top w:val="single" w:sz="4" w:space="0" w:color="auto"/>
              <w:left w:val="nil"/>
              <w:bottom w:val="single" w:sz="4" w:space="0" w:color="auto"/>
              <w:right w:val="single" w:sz="4" w:space="0" w:color="auto"/>
            </w:tcBorders>
            <w:shd w:val="clear" w:color="000000" w:fill="000000"/>
            <w:noWrap/>
            <w:vAlign w:val="center"/>
            <w:hideMark/>
          </w:tcPr>
          <w:p w14:paraId="57BA22DB"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65 and over</w:t>
            </w:r>
          </w:p>
        </w:tc>
      </w:tr>
      <w:tr w:rsidR="00B815D7" w:rsidRPr="001E7776" w14:paraId="46F3F024" w14:textId="77777777" w:rsidTr="001E7776">
        <w:trPr>
          <w:trHeight w:val="288"/>
        </w:trPr>
        <w:tc>
          <w:tcPr>
            <w:tcW w:w="1099" w:type="pct"/>
            <w:tcBorders>
              <w:top w:val="nil"/>
              <w:left w:val="single" w:sz="4" w:space="0" w:color="auto"/>
              <w:bottom w:val="single" w:sz="4" w:space="0" w:color="auto"/>
              <w:right w:val="single" w:sz="4" w:space="0" w:color="auto"/>
            </w:tcBorders>
            <w:shd w:val="clear" w:color="auto" w:fill="auto"/>
            <w:noWrap/>
            <w:hideMark/>
          </w:tcPr>
          <w:p w14:paraId="6C53EBB9" w14:textId="27D469ED" w:rsidR="00B815D7" w:rsidRPr="001E7776" w:rsidRDefault="00B815D7" w:rsidP="00B815D7">
            <w:pPr>
              <w:tabs>
                <w:tab w:val="clear" w:pos="284"/>
              </w:tabs>
              <w:spacing w:line="240" w:lineRule="auto"/>
              <w:rPr>
                <w:rFonts w:eastAsia="Times New Roman" w:cs="Arial"/>
                <w:color w:val="000000"/>
                <w:kern w:val="0"/>
                <w:lang w:eastAsia="en-GB"/>
              </w:rPr>
            </w:pPr>
            <w:r w:rsidRPr="00465761">
              <w:t>2011</w:t>
            </w:r>
          </w:p>
        </w:tc>
        <w:tc>
          <w:tcPr>
            <w:tcW w:w="781" w:type="pct"/>
            <w:tcBorders>
              <w:top w:val="nil"/>
              <w:left w:val="nil"/>
              <w:bottom w:val="single" w:sz="4" w:space="0" w:color="auto"/>
              <w:right w:val="single" w:sz="4" w:space="0" w:color="auto"/>
            </w:tcBorders>
            <w:shd w:val="clear" w:color="auto" w:fill="auto"/>
            <w:noWrap/>
            <w:hideMark/>
          </w:tcPr>
          <w:p w14:paraId="6A8717F5" w14:textId="76FE0457" w:rsidR="00B815D7" w:rsidRPr="001E7776" w:rsidRDefault="00B815D7" w:rsidP="00B815D7">
            <w:pPr>
              <w:tabs>
                <w:tab w:val="clear" w:pos="284"/>
              </w:tabs>
              <w:spacing w:line="240" w:lineRule="auto"/>
              <w:rPr>
                <w:rFonts w:eastAsia="Times New Roman" w:cs="Arial"/>
                <w:color w:val="000000"/>
                <w:kern w:val="0"/>
                <w:lang w:eastAsia="en-GB"/>
              </w:rPr>
            </w:pPr>
            <w:r w:rsidRPr="00900B8B">
              <w:t>700</w:t>
            </w:r>
          </w:p>
        </w:tc>
        <w:tc>
          <w:tcPr>
            <w:tcW w:w="780" w:type="pct"/>
            <w:tcBorders>
              <w:top w:val="nil"/>
              <w:left w:val="nil"/>
              <w:bottom w:val="single" w:sz="4" w:space="0" w:color="auto"/>
              <w:right w:val="single" w:sz="4" w:space="0" w:color="auto"/>
            </w:tcBorders>
            <w:shd w:val="clear" w:color="auto" w:fill="auto"/>
            <w:noWrap/>
            <w:hideMark/>
          </w:tcPr>
          <w:p w14:paraId="5BAF06AA" w14:textId="4311834F" w:rsidR="00B815D7" w:rsidRPr="001E7776" w:rsidRDefault="00B815D7" w:rsidP="00B815D7">
            <w:pPr>
              <w:tabs>
                <w:tab w:val="clear" w:pos="284"/>
              </w:tabs>
              <w:spacing w:line="240" w:lineRule="auto"/>
              <w:rPr>
                <w:rFonts w:eastAsia="Times New Roman" w:cs="Arial"/>
                <w:color w:val="000000"/>
                <w:kern w:val="0"/>
                <w:lang w:eastAsia="en-GB"/>
              </w:rPr>
            </w:pPr>
            <w:r w:rsidRPr="00900B8B">
              <w:t>3,401</w:t>
            </w:r>
          </w:p>
        </w:tc>
        <w:tc>
          <w:tcPr>
            <w:tcW w:w="780" w:type="pct"/>
            <w:tcBorders>
              <w:top w:val="nil"/>
              <w:left w:val="nil"/>
              <w:bottom w:val="single" w:sz="4" w:space="0" w:color="auto"/>
              <w:right w:val="single" w:sz="4" w:space="0" w:color="auto"/>
            </w:tcBorders>
            <w:shd w:val="clear" w:color="auto" w:fill="auto"/>
            <w:noWrap/>
            <w:hideMark/>
          </w:tcPr>
          <w:p w14:paraId="649FA0D7" w14:textId="7079AD42" w:rsidR="00B815D7" w:rsidRPr="001E7776" w:rsidRDefault="00B815D7" w:rsidP="00B815D7">
            <w:pPr>
              <w:tabs>
                <w:tab w:val="clear" w:pos="284"/>
              </w:tabs>
              <w:spacing w:line="240" w:lineRule="auto"/>
              <w:rPr>
                <w:rFonts w:eastAsia="Times New Roman" w:cs="Arial"/>
                <w:color w:val="000000"/>
                <w:kern w:val="0"/>
                <w:lang w:eastAsia="en-GB"/>
              </w:rPr>
            </w:pPr>
            <w:r w:rsidRPr="00900B8B">
              <w:t>13,700</w:t>
            </w:r>
          </w:p>
        </w:tc>
        <w:tc>
          <w:tcPr>
            <w:tcW w:w="780" w:type="pct"/>
            <w:tcBorders>
              <w:top w:val="nil"/>
              <w:left w:val="nil"/>
              <w:bottom w:val="single" w:sz="4" w:space="0" w:color="auto"/>
              <w:right w:val="single" w:sz="4" w:space="0" w:color="auto"/>
            </w:tcBorders>
            <w:shd w:val="clear" w:color="auto" w:fill="auto"/>
            <w:noWrap/>
            <w:hideMark/>
          </w:tcPr>
          <w:p w14:paraId="5AEA4653" w14:textId="0FA97D99" w:rsidR="00B815D7" w:rsidRPr="001E7776" w:rsidRDefault="00B815D7" w:rsidP="00B815D7">
            <w:pPr>
              <w:tabs>
                <w:tab w:val="clear" w:pos="284"/>
              </w:tabs>
              <w:spacing w:line="240" w:lineRule="auto"/>
              <w:rPr>
                <w:rFonts w:eastAsia="Times New Roman" w:cs="Arial"/>
                <w:color w:val="000000"/>
                <w:kern w:val="0"/>
                <w:lang w:eastAsia="en-GB"/>
              </w:rPr>
            </w:pPr>
            <w:r w:rsidRPr="00900B8B">
              <w:t>7,598</w:t>
            </w:r>
          </w:p>
        </w:tc>
        <w:tc>
          <w:tcPr>
            <w:tcW w:w="780" w:type="pct"/>
            <w:tcBorders>
              <w:top w:val="nil"/>
              <w:left w:val="nil"/>
              <w:bottom w:val="single" w:sz="4" w:space="0" w:color="auto"/>
              <w:right w:val="single" w:sz="4" w:space="0" w:color="auto"/>
            </w:tcBorders>
            <w:shd w:val="clear" w:color="auto" w:fill="auto"/>
            <w:noWrap/>
            <w:hideMark/>
          </w:tcPr>
          <w:p w14:paraId="6898BF68" w14:textId="6FC46452" w:rsidR="00B815D7" w:rsidRPr="001E7776" w:rsidRDefault="00B815D7" w:rsidP="00B815D7">
            <w:pPr>
              <w:tabs>
                <w:tab w:val="clear" w:pos="284"/>
              </w:tabs>
              <w:spacing w:line="240" w:lineRule="auto"/>
              <w:rPr>
                <w:rFonts w:eastAsia="Times New Roman" w:cs="Arial"/>
                <w:color w:val="000000"/>
                <w:kern w:val="0"/>
                <w:lang w:eastAsia="en-GB"/>
              </w:rPr>
            </w:pPr>
            <w:r w:rsidRPr="00900B8B">
              <w:t>12,123</w:t>
            </w:r>
          </w:p>
        </w:tc>
      </w:tr>
      <w:tr w:rsidR="00B815D7" w:rsidRPr="001E7776" w14:paraId="368FA927" w14:textId="77777777" w:rsidTr="001E7776">
        <w:trPr>
          <w:trHeight w:val="288"/>
        </w:trPr>
        <w:tc>
          <w:tcPr>
            <w:tcW w:w="1099" w:type="pct"/>
            <w:tcBorders>
              <w:top w:val="nil"/>
              <w:left w:val="single" w:sz="4" w:space="0" w:color="auto"/>
              <w:bottom w:val="single" w:sz="4" w:space="0" w:color="auto"/>
              <w:right w:val="single" w:sz="4" w:space="0" w:color="auto"/>
            </w:tcBorders>
            <w:shd w:val="clear" w:color="auto" w:fill="auto"/>
            <w:noWrap/>
            <w:hideMark/>
          </w:tcPr>
          <w:p w14:paraId="17507C7B" w14:textId="603C227F" w:rsidR="00B815D7" w:rsidRPr="001E7776" w:rsidRDefault="00B815D7" w:rsidP="00B815D7">
            <w:pPr>
              <w:tabs>
                <w:tab w:val="clear" w:pos="284"/>
              </w:tabs>
              <w:spacing w:line="240" w:lineRule="auto"/>
              <w:rPr>
                <w:rFonts w:eastAsia="Times New Roman" w:cs="Arial"/>
                <w:color w:val="000000"/>
                <w:kern w:val="0"/>
                <w:lang w:eastAsia="en-GB"/>
              </w:rPr>
            </w:pPr>
            <w:r w:rsidRPr="00465761">
              <w:t>2014</w:t>
            </w:r>
          </w:p>
        </w:tc>
        <w:tc>
          <w:tcPr>
            <w:tcW w:w="781" w:type="pct"/>
            <w:tcBorders>
              <w:top w:val="nil"/>
              <w:left w:val="nil"/>
              <w:bottom w:val="single" w:sz="4" w:space="0" w:color="auto"/>
              <w:right w:val="single" w:sz="4" w:space="0" w:color="auto"/>
            </w:tcBorders>
            <w:shd w:val="clear" w:color="auto" w:fill="auto"/>
            <w:noWrap/>
            <w:hideMark/>
          </w:tcPr>
          <w:p w14:paraId="05C447A4" w14:textId="0B175AE0" w:rsidR="00B815D7" w:rsidRPr="001E7776" w:rsidRDefault="00B815D7" w:rsidP="00B815D7">
            <w:pPr>
              <w:tabs>
                <w:tab w:val="clear" w:pos="284"/>
              </w:tabs>
              <w:spacing w:line="240" w:lineRule="auto"/>
              <w:rPr>
                <w:rFonts w:eastAsia="Times New Roman" w:cs="Arial"/>
                <w:color w:val="000000"/>
                <w:kern w:val="0"/>
                <w:lang w:eastAsia="en-GB"/>
              </w:rPr>
            </w:pPr>
            <w:r w:rsidRPr="00900B8B">
              <w:t>1,000</w:t>
            </w:r>
          </w:p>
        </w:tc>
        <w:tc>
          <w:tcPr>
            <w:tcW w:w="780" w:type="pct"/>
            <w:tcBorders>
              <w:top w:val="nil"/>
              <w:left w:val="nil"/>
              <w:bottom w:val="single" w:sz="4" w:space="0" w:color="auto"/>
              <w:right w:val="single" w:sz="4" w:space="0" w:color="auto"/>
            </w:tcBorders>
            <w:shd w:val="clear" w:color="auto" w:fill="auto"/>
            <w:noWrap/>
            <w:hideMark/>
          </w:tcPr>
          <w:p w14:paraId="55FD0098" w14:textId="7160406D" w:rsidR="00B815D7" w:rsidRPr="001E7776" w:rsidRDefault="00B815D7" w:rsidP="00B815D7">
            <w:pPr>
              <w:tabs>
                <w:tab w:val="clear" w:pos="284"/>
              </w:tabs>
              <w:spacing w:line="240" w:lineRule="auto"/>
              <w:rPr>
                <w:rFonts w:eastAsia="Times New Roman" w:cs="Arial"/>
                <w:color w:val="000000"/>
                <w:kern w:val="0"/>
                <w:lang w:eastAsia="en-GB"/>
              </w:rPr>
            </w:pPr>
            <w:r w:rsidRPr="00900B8B">
              <w:t>3,000</w:t>
            </w:r>
          </w:p>
        </w:tc>
        <w:tc>
          <w:tcPr>
            <w:tcW w:w="780" w:type="pct"/>
            <w:tcBorders>
              <w:top w:val="nil"/>
              <w:left w:val="nil"/>
              <w:bottom w:val="single" w:sz="4" w:space="0" w:color="auto"/>
              <w:right w:val="single" w:sz="4" w:space="0" w:color="auto"/>
            </w:tcBorders>
            <w:shd w:val="clear" w:color="auto" w:fill="auto"/>
            <w:noWrap/>
            <w:hideMark/>
          </w:tcPr>
          <w:p w14:paraId="660CB2E4" w14:textId="2101E54B" w:rsidR="00B815D7" w:rsidRPr="001E7776" w:rsidRDefault="00B815D7" w:rsidP="00B815D7">
            <w:pPr>
              <w:tabs>
                <w:tab w:val="clear" w:pos="284"/>
              </w:tabs>
              <w:spacing w:line="240" w:lineRule="auto"/>
              <w:rPr>
                <w:rFonts w:eastAsia="Times New Roman" w:cs="Arial"/>
                <w:color w:val="000000"/>
                <w:kern w:val="0"/>
                <w:lang w:eastAsia="en-GB"/>
              </w:rPr>
            </w:pPr>
            <w:r w:rsidRPr="00900B8B">
              <w:t>14,000</w:t>
            </w:r>
          </w:p>
        </w:tc>
        <w:tc>
          <w:tcPr>
            <w:tcW w:w="780" w:type="pct"/>
            <w:tcBorders>
              <w:top w:val="nil"/>
              <w:left w:val="nil"/>
              <w:bottom w:val="single" w:sz="4" w:space="0" w:color="auto"/>
              <w:right w:val="single" w:sz="4" w:space="0" w:color="auto"/>
            </w:tcBorders>
            <w:shd w:val="clear" w:color="auto" w:fill="auto"/>
            <w:noWrap/>
            <w:hideMark/>
          </w:tcPr>
          <w:p w14:paraId="1037AF58" w14:textId="2BB52BA2" w:rsidR="00B815D7" w:rsidRPr="001E7776" w:rsidRDefault="00B815D7" w:rsidP="00B815D7">
            <w:pPr>
              <w:tabs>
                <w:tab w:val="clear" w:pos="284"/>
              </w:tabs>
              <w:spacing w:line="240" w:lineRule="auto"/>
              <w:rPr>
                <w:rFonts w:eastAsia="Times New Roman" w:cs="Arial"/>
                <w:color w:val="000000"/>
                <w:kern w:val="0"/>
                <w:lang w:eastAsia="en-GB"/>
              </w:rPr>
            </w:pPr>
            <w:r w:rsidRPr="00900B8B">
              <w:t>7,000</w:t>
            </w:r>
          </w:p>
        </w:tc>
        <w:tc>
          <w:tcPr>
            <w:tcW w:w="780" w:type="pct"/>
            <w:tcBorders>
              <w:top w:val="nil"/>
              <w:left w:val="nil"/>
              <w:bottom w:val="single" w:sz="4" w:space="0" w:color="auto"/>
              <w:right w:val="single" w:sz="4" w:space="0" w:color="auto"/>
            </w:tcBorders>
            <w:shd w:val="clear" w:color="auto" w:fill="auto"/>
            <w:noWrap/>
            <w:hideMark/>
          </w:tcPr>
          <w:p w14:paraId="434E86A1" w14:textId="1C3A5656" w:rsidR="00B815D7" w:rsidRPr="001E7776" w:rsidRDefault="00B815D7" w:rsidP="00B815D7">
            <w:pPr>
              <w:tabs>
                <w:tab w:val="clear" w:pos="284"/>
              </w:tabs>
              <w:spacing w:line="240" w:lineRule="auto"/>
              <w:rPr>
                <w:rFonts w:eastAsia="Times New Roman" w:cs="Arial"/>
                <w:color w:val="000000"/>
                <w:kern w:val="0"/>
                <w:lang w:eastAsia="en-GB"/>
              </w:rPr>
            </w:pPr>
            <w:r w:rsidRPr="00900B8B">
              <w:t>14,000</w:t>
            </w:r>
          </w:p>
        </w:tc>
      </w:tr>
      <w:tr w:rsidR="00B815D7" w:rsidRPr="001E7776" w14:paraId="5CE42A3B" w14:textId="77777777" w:rsidTr="001E7776">
        <w:trPr>
          <w:trHeight w:val="288"/>
        </w:trPr>
        <w:tc>
          <w:tcPr>
            <w:tcW w:w="1099" w:type="pct"/>
            <w:tcBorders>
              <w:top w:val="nil"/>
              <w:left w:val="single" w:sz="4" w:space="0" w:color="auto"/>
              <w:bottom w:val="single" w:sz="4" w:space="0" w:color="auto"/>
              <w:right w:val="single" w:sz="4" w:space="0" w:color="auto"/>
            </w:tcBorders>
            <w:shd w:val="clear" w:color="auto" w:fill="auto"/>
            <w:noWrap/>
          </w:tcPr>
          <w:p w14:paraId="40590EC4" w14:textId="40E7641D" w:rsidR="00B815D7" w:rsidRPr="00D56987" w:rsidRDefault="00B815D7" w:rsidP="00B815D7">
            <w:pPr>
              <w:tabs>
                <w:tab w:val="clear" w:pos="284"/>
                <w:tab w:val="left" w:pos="1013"/>
              </w:tabs>
              <w:spacing w:line="240" w:lineRule="auto"/>
              <w:rPr>
                <w:rFonts w:eastAsia="Times New Roman" w:cs="Arial"/>
                <w:b/>
                <w:color w:val="FF0000"/>
                <w:kern w:val="0"/>
                <w:lang w:eastAsia="en-GB"/>
              </w:rPr>
            </w:pPr>
            <w:r w:rsidRPr="00D56987">
              <w:rPr>
                <w:color w:val="FF0000"/>
              </w:rPr>
              <w:t>2036</w:t>
            </w:r>
          </w:p>
        </w:tc>
        <w:tc>
          <w:tcPr>
            <w:tcW w:w="781" w:type="pct"/>
            <w:tcBorders>
              <w:top w:val="nil"/>
              <w:left w:val="nil"/>
              <w:bottom w:val="single" w:sz="4" w:space="0" w:color="auto"/>
              <w:right w:val="single" w:sz="4" w:space="0" w:color="auto"/>
            </w:tcBorders>
            <w:shd w:val="clear" w:color="auto" w:fill="auto"/>
            <w:noWrap/>
          </w:tcPr>
          <w:p w14:paraId="339847A0" w14:textId="26B574FD" w:rsidR="00B815D7" w:rsidRPr="00D56987" w:rsidRDefault="00B815D7" w:rsidP="00B815D7">
            <w:pPr>
              <w:tabs>
                <w:tab w:val="clear" w:pos="284"/>
              </w:tabs>
              <w:spacing w:line="240" w:lineRule="auto"/>
              <w:rPr>
                <w:rFonts w:eastAsia="Times New Roman" w:cs="Arial"/>
                <w:b/>
                <w:color w:val="FF0000"/>
                <w:kern w:val="0"/>
                <w:lang w:eastAsia="en-GB"/>
              </w:rPr>
            </w:pPr>
            <w:r w:rsidRPr="00D56987">
              <w:rPr>
                <w:color w:val="FF0000"/>
              </w:rPr>
              <w:t>1,000</w:t>
            </w:r>
          </w:p>
        </w:tc>
        <w:tc>
          <w:tcPr>
            <w:tcW w:w="780" w:type="pct"/>
            <w:tcBorders>
              <w:top w:val="nil"/>
              <w:left w:val="nil"/>
              <w:bottom w:val="single" w:sz="4" w:space="0" w:color="auto"/>
              <w:right w:val="single" w:sz="4" w:space="0" w:color="auto"/>
            </w:tcBorders>
            <w:shd w:val="clear" w:color="auto" w:fill="auto"/>
            <w:noWrap/>
          </w:tcPr>
          <w:p w14:paraId="74009778" w14:textId="6B5271CF" w:rsidR="00B815D7" w:rsidRPr="00D56987" w:rsidRDefault="00B815D7" w:rsidP="00B815D7">
            <w:pPr>
              <w:tabs>
                <w:tab w:val="clear" w:pos="284"/>
              </w:tabs>
              <w:spacing w:line="240" w:lineRule="auto"/>
              <w:rPr>
                <w:rFonts w:eastAsia="Times New Roman" w:cs="Arial"/>
                <w:b/>
                <w:color w:val="FF0000"/>
                <w:kern w:val="0"/>
                <w:lang w:eastAsia="en-GB"/>
              </w:rPr>
            </w:pPr>
            <w:r w:rsidRPr="00D56987">
              <w:rPr>
                <w:color w:val="FF0000"/>
              </w:rPr>
              <w:t>3,000</w:t>
            </w:r>
          </w:p>
        </w:tc>
        <w:tc>
          <w:tcPr>
            <w:tcW w:w="780" w:type="pct"/>
            <w:tcBorders>
              <w:top w:val="nil"/>
              <w:left w:val="nil"/>
              <w:bottom w:val="single" w:sz="4" w:space="0" w:color="auto"/>
              <w:right w:val="single" w:sz="4" w:space="0" w:color="auto"/>
            </w:tcBorders>
            <w:shd w:val="clear" w:color="auto" w:fill="auto"/>
            <w:noWrap/>
          </w:tcPr>
          <w:p w14:paraId="55BFC855" w14:textId="71AF7A5E" w:rsidR="00B815D7" w:rsidRPr="00D56987" w:rsidRDefault="00B815D7" w:rsidP="00B815D7">
            <w:pPr>
              <w:tabs>
                <w:tab w:val="clear" w:pos="284"/>
              </w:tabs>
              <w:spacing w:line="240" w:lineRule="auto"/>
              <w:rPr>
                <w:rFonts w:eastAsia="Times New Roman" w:cs="Arial"/>
                <w:b/>
                <w:color w:val="FF0000"/>
                <w:kern w:val="0"/>
                <w:lang w:eastAsia="en-GB"/>
              </w:rPr>
            </w:pPr>
            <w:r w:rsidRPr="00D56987">
              <w:rPr>
                <w:color w:val="FF0000"/>
              </w:rPr>
              <w:t>12,240</w:t>
            </w:r>
          </w:p>
        </w:tc>
        <w:tc>
          <w:tcPr>
            <w:tcW w:w="780" w:type="pct"/>
            <w:tcBorders>
              <w:top w:val="nil"/>
              <w:left w:val="nil"/>
              <w:bottom w:val="single" w:sz="4" w:space="0" w:color="auto"/>
              <w:right w:val="single" w:sz="4" w:space="0" w:color="auto"/>
            </w:tcBorders>
            <w:shd w:val="clear" w:color="auto" w:fill="auto"/>
            <w:noWrap/>
          </w:tcPr>
          <w:p w14:paraId="39755AE4" w14:textId="4E983BD2" w:rsidR="00B815D7" w:rsidRPr="00D56987" w:rsidRDefault="00B815D7" w:rsidP="00B815D7">
            <w:pPr>
              <w:tabs>
                <w:tab w:val="clear" w:pos="284"/>
              </w:tabs>
              <w:spacing w:line="240" w:lineRule="auto"/>
              <w:rPr>
                <w:rFonts w:eastAsia="Times New Roman" w:cs="Arial"/>
                <w:b/>
                <w:color w:val="FF0000"/>
                <w:kern w:val="0"/>
                <w:lang w:eastAsia="en-GB"/>
              </w:rPr>
            </w:pPr>
            <w:r w:rsidRPr="00D56987">
              <w:rPr>
                <w:color w:val="FF0000"/>
              </w:rPr>
              <w:t>7,000</w:t>
            </w:r>
          </w:p>
        </w:tc>
        <w:tc>
          <w:tcPr>
            <w:tcW w:w="780" w:type="pct"/>
            <w:tcBorders>
              <w:top w:val="nil"/>
              <w:left w:val="nil"/>
              <w:bottom w:val="single" w:sz="4" w:space="0" w:color="auto"/>
              <w:right w:val="single" w:sz="4" w:space="0" w:color="auto"/>
            </w:tcBorders>
            <w:shd w:val="clear" w:color="auto" w:fill="auto"/>
            <w:noWrap/>
          </w:tcPr>
          <w:p w14:paraId="662CB9E3" w14:textId="2B0870B3" w:rsidR="00B815D7" w:rsidRPr="00D56987" w:rsidRDefault="00B815D7" w:rsidP="00B815D7">
            <w:pPr>
              <w:tabs>
                <w:tab w:val="clear" w:pos="284"/>
              </w:tabs>
              <w:spacing w:line="240" w:lineRule="auto"/>
              <w:rPr>
                <w:rFonts w:eastAsia="Times New Roman" w:cs="Arial"/>
                <w:b/>
                <w:color w:val="FF0000"/>
                <w:kern w:val="0"/>
                <w:lang w:eastAsia="en-GB"/>
              </w:rPr>
            </w:pPr>
            <w:r w:rsidRPr="00D56987">
              <w:rPr>
                <w:color w:val="FF0000"/>
              </w:rPr>
              <w:t>21,920</w:t>
            </w:r>
          </w:p>
        </w:tc>
      </w:tr>
      <w:tr w:rsidR="00B815D7" w:rsidRPr="001E7776" w14:paraId="38578746" w14:textId="77777777" w:rsidTr="001E7776">
        <w:trPr>
          <w:trHeight w:val="288"/>
        </w:trPr>
        <w:tc>
          <w:tcPr>
            <w:tcW w:w="1099" w:type="pct"/>
            <w:tcBorders>
              <w:top w:val="nil"/>
              <w:left w:val="single" w:sz="4" w:space="0" w:color="auto"/>
              <w:bottom w:val="single" w:sz="4" w:space="0" w:color="auto"/>
              <w:right w:val="single" w:sz="4" w:space="0" w:color="auto"/>
            </w:tcBorders>
            <w:shd w:val="clear" w:color="auto" w:fill="auto"/>
            <w:noWrap/>
          </w:tcPr>
          <w:p w14:paraId="3835016F" w14:textId="79008240" w:rsidR="00B815D7" w:rsidRPr="001E7776" w:rsidRDefault="00B815D7" w:rsidP="00B815D7">
            <w:pPr>
              <w:tabs>
                <w:tab w:val="clear" w:pos="284"/>
              </w:tabs>
              <w:spacing w:line="240" w:lineRule="auto"/>
              <w:rPr>
                <w:rFonts w:eastAsia="Times New Roman" w:cs="Arial"/>
                <w:color w:val="000000"/>
                <w:kern w:val="0"/>
                <w:lang w:eastAsia="en-GB"/>
              </w:rPr>
            </w:pPr>
            <w:r w:rsidRPr="00465761">
              <w:t>2039</w:t>
            </w:r>
          </w:p>
        </w:tc>
        <w:tc>
          <w:tcPr>
            <w:tcW w:w="781" w:type="pct"/>
            <w:tcBorders>
              <w:top w:val="nil"/>
              <w:left w:val="nil"/>
              <w:bottom w:val="single" w:sz="4" w:space="0" w:color="auto"/>
              <w:right w:val="single" w:sz="4" w:space="0" w:color="auto"/>
            </w:tcBorders>
            <w:shd w:val="clear" w:color="auto" w:fill="auto"/>
            <w:noWrap/>
          </w:tcPr>
          <w:p w14:paraId="6484DDA8" w14:textId="6C75F019" w:rsidR="00B815D7" w:rsidRPr="001E7776" w:rsidRDefault="00B815D7" w:rsidP="00B815D7">
            <w:pPr>
              <w:tabs>
                <w:tab w:val="clear" w:pos="284"/>
              </w:tabs>
              <w:spacing w:line="240" w:lineRule="auto"/>
              <w:rPr>
                <w:rFonts w:eastAsia="Times New Roman" w:cs="Arial"/>
                <w:color w:val="000000"/>
                <w:kern w:val="0"/>
                <w:lang w:eastAsia="en-GB"/>
              </w:rPr>
            </w:pPr>
            <w:r w:rsidRPr="00900B8B">
              <w:t>1,000</w:t>
            </w:r>
          </w:p>
        </w:tc>
        <w:tc>
          <w:tcPr>
            <w:tcW w:w="780" w:type="pct"/>
            <w:tcBorders>
              <w:top w:val="nil"/>
              <w:left w:val="nil"/>
              <w:bottom w:val="single" w:sz="4" w:space="0" w:color="auto"/>
              <w:right w:val="single" w:sz="4" w:space="0" w:color="auto"/>
            </w:tcBorders>
            <w:shd w:val="clear" w:color="auto" w:fill="auto"/>
            <w:noWrap/>
          </w:tcPr>
          <w:p w14:paraId="58386A2B" w14:textId="3767943C" w:rsidR="00B815D7" w:rsidRPr="001E7776" w:rsidRDefault="00B815D7" w:rsidP="00B815D7">
            <w:pPr>
              <w:tabs>
                <w:tab w:val="clear" w:pos="284"/>
              </w:tabs>
              <w:spacing w:line="240" w:lineRule="auto"/>
              <w:rPr>
                <w:rFonts w:eastAsia="Times New Roman" w:cs="Arial"/>
                <w:color w:val="000000"/>
                <w:kern w:val="0"/>
                <w:lang w:eastAsia="en-GB"/>
              </w:rPr>
            </w:pPr>
            <w:r w:rsidRPr="00900B8B">
              <w:t>3,000</w:t>
            </w:r>
          </w:p>
        </w:tc>
        <w:tc>
          <w:tcPr>
            <w:tcW w:w="780" w:type="pct"/>
            <w:tcBorders>
              <w:top w:val="nil"/>
              <w:left w:val="nil"/>
              <w:bottom w:val="single" w:sz="4" w:space="0" w:color="auto"/>
              <w:right w:val="single" w:sz="4" w:space="0" w:color="auto"/>
            </w:tcBorders>
            <w:shd w:val="clear" w:color="auto" w:fill="auto"/>
            <w:noWrap/>
          </w:tcPr>
          <w:p w14:paraId="074DE24B" w14:textId="109EDB8B" w:rsidR="00B815D7" w:rsidRPr="001E7776" w:rsidRDefault="00B815D7" w:rsidP="00B815D7">
            <w:pPr>
              <w:tabs>
                <w:tab w:val="clear" w:pos="284"/>
              </w:tabs>
              <w:spacing w:line="240" w:lineRule="auto"/>
              <w:rPr>
                <w:rFonts w:eastAsia="Times New Roman" w:cs="Arial"/>
                <w:color w:val="000000"/>
                <w:kern w:val="0"/>
                <w:lang w:eastAsia="en-GB"/>
              </w:rPr>
            </w:pPr>
            <w:r w:rsidRPr="00900B8B">
              <w:t>12,000</w:t>
            </w:r>
          </w:p>
        </w:tc>
        <w:tc>
          <w:tcPr>
            <w:tcW w:w="780" w:type="pct"/>
            <w:tcBorders>
              <w:top w:val="nil"/>
              <w:left w:val="nil"/>
              <w:bottom w:val="single" w:sz="4" w:space="0" w:color="auto"/>
              <w:right w:val="single" w:sz="4" w:space="0" w:color="auto"/>
            </w:tcBorders>
            <w:shd w:val="clear" w:color="auto" w:fill="auto"/>
            <w:noWrap/>
          </w:tcPr>
          <w:p w14:paraId="51EF1596" w14:textId="294C0635" w:rsidR="00B815D7" w:rsidRPr="001E7776" w:rsidRDefault="00B815D7" w:rsidP="00B815D7">
            <w:pPr>
              <w:tabs>
                <w:tab w:val="clear" w:pos="284"/>
              </w:tabs>
              <w:spacing w:line="240" w:lineRule="auto"/>
              <w:rPr>
                <w:rFonts w:eastAsia="Times New Roman" w:cs="Arial"/>
                <w:color w:val="000000"/>
                <w:kern w:val="0"/>
                <w:lang w:eastAsia="en-GB"/>
              </w:rPr>
            </w:pPr>
            <w:r w:rsidRPr="00900B8B">
              <w:t>7,000</w:t>
            </w:r>
          </w:p>
        </w:tc>
        <w:tc>
          <w:tcPr>
            <w:tcW w:w="780" w:type="pct"/>
            <w:tcBorders>
              <w:top w:val="nil"/>
              <w:left w:val="nil"/>
              <w:bottom w:val="single" w:sz="4" w:space="0" w:color="auto"/>
              <w:right w:val="single" w:sz="4" w:space="0" w:color="auto"/>
            </w:tcBorders>
            <w:shd w:val="clear" w:color="auto" w:fill="auto"/>
            <w:noWrap/>
          </w:tcPr>
          <w:p w14:paraId="5C1BFA20" w14:textId="0F157CF0" w:rsidR="00B815D7" w:rsidRPr="001E7776" w:rsidRDefault="00B815D7" w:rsidP="00B815D7">
            <w:pPr>
              <w:tabs>
                <w:tab w:val="clear" w:pos="284"/>
              </w:tabs>
              <w:spacing w:line="240" w:lineRule="auto"/>
              <w:rPr>
                <w:rFonts w:eastAsia="Times New Roman" w:cs="Arial"/>
                <w:color w:val="000000"/>
                <w:kern w:val="0"/>
                <w:lang w:eastAsia="en-GB"/>
              </w:rPr>
            </w:pPr>
            <w:r w:rsidRPr="00900B8B">
              <w:t>23,000</w:t>
            </w:r>
          </w:p>
        </w:tc>
      </w:tr>
    </w:tbl>
    <w:p w14:paraId="10ED669E" w14:textId="77777777" w:rsidR="001E7776" w:rsidRPr="001E7776" w:rsidRDefault="001E7776" w:rsidP="006E5E1E">
      <w:pPr>
        <w:pStyle w:val="Source"/>
      </w:pPr>
      <w:r w:rsidRPr="001E7776">
        <w:rPr>
          <w:lang w:eastAsia="en-GB"/>
        </w:rPr>
        <w:t>Source(s): MHCLG 2014-based household projections, ONS 2011(</w:t>
      </w:r>
      <w:r w:rsidRPr="001E7776">
        <w:rPr>
          <w:lang w:val="en" w:eastAsia="en-GB"/>
        </w:rPr>
        <w:t>QS111EW) (LC4201EW)</w:t>
      </w:r>
      <w:r w:rsidRPr="001E7776">
        <w:rPr>
          <w:lang w:eastAsia="en-GB"/>
        </w:rPr>
        <w:t xml:space="preserve">, </w:t>
      </w:r>
      <w:r w:rsidRPr="001E7776">
        <w:t>AECOM Calculations</w:t>
      </w:r>
    </w:p>
    <w:p w14:paraId="7E867B3C" w14:textId="767BE6AE" w:rsidR="001E7776" w:rsidRPr="001E7776" w:rsidRDefault="001E7776" w:rsidP="00D56987">
      <w:pPr>
        <w:pStyle w:val="ListNumber"/>
        <w:jc w:val="both"/>
      </w:pPr>
      <w:r w:rsidRPr="001E7776">
        <w:t xml:space="preserve">At this point, it is necessary to derive an estimate of the future change in age structure of the population in </w:t>
      </w:r>
      <w:r w:rsidR="00A61EB3">
        <w:t>Copdock and Washbrook</w:t>
      </w:r>
      <w:r w:rsidRPr="001E7776">
        <w:t xml:space="preserve">. To do so, the percentage of increase expected for each group in </w:t>
      </w:r>
      <w:r w:rsidR="00A61EB3">
        <w:t>Babergh</w:t>
      </w:r>
      <w:r w:rsidRPr="001E7776">
        <w:t xml:space="preserve">, derived from the data presented in </w:t>
      </w:r>
      <w:r w:rsidRPr="001E7776">
        <w:fldChar w:fldCharType="begin"/>
      </w:r>
      <w:r w:rsidRPr="001E7776">
        <w:instrText xml:space="preserve"> REF _Ref535318997 \h </w:instrText>
      </w:r>
      <w:r w:rsidR="004D2F3E">
        <w:instrText xml:space="preserve"> \* MERGEFORMAT </w:instrText>
      </w:r>
      <w:r w:rsidRPr="001E7776">
        <w:fldChar w:fldCharType="separate"/>
      </w:r>
      <w:r w:rsidR="004F6699" w:rsidRPr="00D56987">
        <w:t>Table 5</w:t>
      </w:r>
      <w:r w:rsidR="004F6699" w:rsidRPr="00D56987">
        <w:noBreakHyphen/>
        <w:t>9</w:t>
      </w:r>
      <w:r w:rsidRPr="001E7776">
        <w:fldChar w:fldCharType="end"/>
      </w:r>
      <w:r w:rsidRPr="001E7776">
        <w:t xml:space="preserve">, was applied to the population of </w:t>
      </w:r>
      <w:r w:rsidR="00A61EB3">
        <w:t>Copdock and Washbrook</w:t>
      </w:r>
      <w:r w:rsidRPr="001E7776">
        <w:t>. The results of our calculation</w:t>
      </w:r>
      <w:r w:rsidR="00BC6ADA">
        <w:t>s</w:t>
      </w:r>
      <w:r w:rsidRPr="001E7776">
        <w:t xml:space="preserve"> are detailed in </w:t>
      </w:r>
      <w:r w:rsidRPr="001E7776">
        <w:fldChar w:fldCharType="begin"/>
      </w:r>
      <w:r w:rsidRPr="001E7776">
        <w:instrText xml:space="preserve"> REF _Ref526086881 \h </w:instrText>
      </w:r>
      <w:r w:rsidR="004D2F3E">
        <w:instrText xml:space="preserve"> \* MERGEFORMAT </w:instrText>
      </w:r>
      <w:r w:rsidRPr="001E7776">
        <w:fldChar w:fldCharType="separate"/>
      </w:r>
      <w:r w:rsidR="004F6699" w:rsidRPr="00D56987">
        <w:t>Table 5</w:t>
      </w:r>
      <w:r w:rsidR="004F6699" w:rsidRPr="00D56987">
        <w:noBreakHyphen/>
        <w:t>10</w:t>
      </w:r>
      <w:r w:rsidRPr="001E7776">
        <w:fldChar w:fldCharType="end"/>
      </w:r>
      <w:r w:rsidRPr="001E7776">
        <w:t xml:space="preserve"> below: </w:t>
      </w:r>
    </w:p>
    <w:p w14:paraId="0832A3B6" w14:textId="5EA672E4" w:rsidR="001E7776" w:rsidRPr="001E7776" w:rsidRDefault="001E7776" w:rsidP="001E7776">
      <w:pPr>
        <w:keepNext/>
        <w:spacing w:after="120"/>
        <w:ind w:left="425"/>
        <w:rPr>
          <w:rFonts w:asciiTheme="majorHAnsi" w:hAnsiTheme="majorHAnsi"/>
          <w:b/>
          <w:bCs/>
          <w:color w:val="00B5E2" w:themeColor="accent1"/>
          <w:sz w:val="20"/>
        </w:rPr>
      </w:pPr>
      <w:bookmarkStart w:id="124" w:name="_Ref526086881"/>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10</w:t>
      </w:r>
      <w:r w:rsidRPr="001E7776">
        <w:rPr>
          <w:rFonts w:asciiTheme="majorHAnsi" w:hAnsiTheme="majorHAnsi"/>
          <w:b/>
          <w:bCs/>
          <w:noProof/>
          <w:color w:val="00B5E2" w:themeColor="accent1"/>
          <w:sz w:val="20"/>
        </w:rPr>
        <w:fldChar w:fldCharType="end"/>
      </w:r>
      <w:bookmarkEnd w:id="124"/>
      <w:r w:rsidRPr="001E7776">
        <w:rPr>
          <w:rFonts w:asciiTheme="majorHAnsi" w:hAnsiTheme="majorHAnsi"/>
          <w:b/>
          <w:bCs/>
          <w:color w:val="00B5E2" w:themeColor="accent1"/>
          <w:sz w:val="20"/>
        </w:rPr>
        <w:t xml:space="preserve">: Projected distribution of households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xml:space="preserve"> by age of HRP</w:t>
      </w:r>
    </w:p>
    <w:tbl>
      <w:tblPr>
        <w:tblW w:w="473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1674"/>
        <w:gridCol w:w="1675"/>
        <w:gridCol w:w="1675"/>
        <w:gridCol w:w="1675"/>
        <w:gridCol w:w="1675"/>
      </w:tblGrid>
      <w:tr w:rsidR="001E7776" w:rsidRPr="001E7776" w14:paraId="4C6AD464" w14:textId="77777777" w:rsidTr="001E7776">
        <w:trPr>
          <w:trHeight w:val="288"/>
        </w:trPr>
        <w:tc>
          <w:tcPr>
            <w:tcW w:w="600" w:type="pct"/>
            <w:shd w:val="clear" w:color="auto" w:fill="000000"/>
            <w:noWrap/>
            <w:vAlign w:val="center"/>
            <w:hideMark/>
          </w:tcPr>
          <w:p w14:paraId="19BF3AC9" w14:textId="77777777" w:rsidR="001E7776" w:rsidRPr="001E7776" w:rsidRDefault="001E7776" w:rsidP="001E7776">
            <w:pPr>
              <w:tabs>
                <w:tab w:val="clear" w:pos="284"/>
              </w:tabs>
              <w:spacing w:line="240" w:lineRule="auto"/>
              <w:rPr>
                <w:rFonts w:eastAsia="Times New Roman" w:cs="Arial"/>
                <w:color w:val="000000"/>
                <w:kern w:val="0"/>
                <w:lang w:eastAsia="en-GB"/>
              </w:rPr>
            </w:pPr>
            <w:r w:rsidRPr="001E7776">
              <w:rPr>
                <w:rFonts w:eastAsia="Times New Roman" w:cs="Arial"/>
                <w:color w:val="000000"/>
                <w:kern w:val="0"/>
                <w:lang w:eastAsia="en-GB"/>
              </w:rPr>
              <w:t> </w:t>
            </w:r>
          </w:p>
        </w:tc>
        <w:tc>
          <w:tcPr>
            <w:tcW w:w="880" w:type="pct"/>
            <w:shd w:val="clear" w:color="000000" w:fill="000000"/>
            <w:noWrap/>
            <w:vAlign w:val="center"/>
            <w:hideMark/>
          </w:tcPr>
          <w:p w14:paraId="583EF74D"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24 and under</w:t>
            </w:r>
          </w:p>
        </w:tc>
        <w:tc>
          <w:tcPr>
            <w:tcW w:w="880" w:type="pct"/>
            <w:shd w:val="clear" w:color="000000" w:fill="000000"/>
            <w:noWrap/>
            <w:vAlign w:val="center"/>
            <w:hideMark/>
          </w:tcPr>
          <w:p w14:paraId="02A22D5A"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25 to 34</w:t>
            </w:r>
          </w:p>
        </w:tc>
        <w:tc>
          <w:tcPr>
            <w:tcW w:w="880" w:type="pct"/>
            <w:shd w:val="clear" w:color="000000" w:fill="000000"/>
            <w:noWrap/>
            <w:vAlign w:val="center"/>
            <w:hideMark/>
          </w:tcPr>
          <w:p w14:paraId="22B28A26"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35 to 54</w:t>
            </w:r>
          </w:p>
        </w:tc>
        <w:tc>
          <w:tcPr>
            <w:tcW w:w="880" w:type="pct"/>
            <w:shd w:val="clear" w:color="000000" w:fill="000000"/>
            <w:noWrap/>
            <w:vAlign w:val="center"/>
            <w:hideMark/>
          </w:tcPr>
          <w:p w14:paraId="366A8CFA"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55 to 64</w:t>
            </w:r>
          </w:p>
        </w:tc>
        <w:tc>
          <w:tcPr>
            <w:tcW w:w="880" w:type="pct"/>
            <w:shd w:val="clear" w:color="000000" w:fill="000000"/>
            <w:noWrap/>
            <w:vAlign w:val="center"/>
            <w:hideMark/>
          </w:tcPr>
          <w:p w14:paraId="30AF3401" w14:textId="77777777" w:rsidR="001E7776" w:rsidRPr="001E7776" w:rsidRDefault="001E7776" w:rsidP="001E7776">
            <w:pPr>
              <w:tabs>
                <w:tab w:val="clear" w:pos="284"/>
              </w:tabs>
              <w:spacing w:line="240" w:lineRule="auto"/>
              <w:rPr>
                <w:rFonts w:eastAsia="Times New Roman" w:cs="Arial"/>
                <w:b/>
                <w:bCs/>
                <w:color w:val="FFFFFF"/>
                <w:kern w:val="0"/>
                <w:lang w:eastAsia="en-GB"/>
              </w:rPr>
            </w:pPr>
            <w:r w:rsidRPr="001E7776">
              <w:rPr>
                <w:rFonts w:eastAsia="Times New Roman" w:cs="Arial"/>
                <w:b/>
                <w:bCs/>
                <w:color w:val="FFFFFF"/>
                <w:kern w:val="0"/>
                <w:lang w:eastAsia="en-GB"/>
              </w:rPr>
              <w:t>Age of HRP 65 and over</w:t>
            </w:r>
          </w:p>
        </w:tc>
      </w:tr>
      <w:tr w:rsidR="00B815D7" w:rsidRPr="001E7776" w14:paraId="2B356AE6" w14:textId="77777777" w:rsidTr="001E7776">
        <w:trPr>
          <w:trHeight w:val="300"/>
        </w:trPr>
        <w:tc>
          <w:tcPr>
            <w:tcW w:w="600" w:type="pct"/>
            <w:shd w:val="clear" w:color="auto" w:fill="auto"/>
            <w:noWrap/>
            <w:hideMark/>
          </w:tcPr>
          <w:p w14:paraId="3962EBDA" w14:textId="167F0D33" w:rsidR="00B815D7" w:rsidRPr="001E7776" w:rsidRDefault="00B815D7" w:rsidP="00B815D7">
            <w:pPr>
              <w:tabs>
                <w:tab w:val="clear" w:pos="284"/>
              </w:tabs>
              <w:spacing w:line="240" w:lineRule="auto"/>
              <w:rPr>
                <w:rFonts w:eastAsia="Times New Roman" w:cs="Arial"/>
                <w:color w:val="000000"/>
                <w:kern w:val="0"/>
                <w:lang w:eastAsia="en-GB"/>
              </w:rPr>
            </w:pPr>
            <w:r w:rsidRPr="00C7355A">
              <w:t>2011</w:t>
            </w:r>
          </w:p>
        </w:tc>
        <w:tc>
          <w:tcPr>
            <w:tcW w:w="880" w:type="pct"/>
            <w:shd w:val="clear" w:color="auto" w:fill="auto"/>
            <w:noWrap/>
            <w:hideMark/>
          </w:tcPr>
          <w:p w14:paraId="22FED6C6" w14:textId="1EA792E0" w:rsidR="00B815D7" w:rsidRPr="001E7776" w:rsidRDefault="00B815D7" w:rsidP="00B815D7">
            <w:pPr>
              <w:tabs>
                <w:tab w:val="clear" w:pos="284"/>
              </w:tabs>
              <w:spacing w:line="240" w:lineRule="auto"/>
              <w:rPr>
                <w:rFonts w:eastAsia="Times New Roman" w:cs="Arial"/>
                <w:color w:val="000000"/>
                <w:kern w:val="0"/>
                <w:lang w:eastAsia="en-GB"/>
              </w:rPr>
            </w:pPr>
            <w:r w:rsidRPr="00C7355A">
              <w:t>2</w:t>
            </w:r>
          </w:p>
        </w:tc>
        <w:tc>
          <w:tcPr>
            <w:tcW w:w="880" w:type="pct"/>
            <w:shd w:val="clear" w:color="auto" w:fill="auto"/>
            <w:noWrap/>
            <w:hideMark/>
          </w:tcPr>
          <w:p w14:paraId="258235D6" w14:textId="1235D2ED" w:rsidR="00B815D7" w:rsidRPr="001E7776" w:rsidRDefault="00B815D7" w:rsidP="00B815D7">
            <w:pPr>
              <w:tabs>
                <w:tab w:val="clear" w:pos="284"/>
              </w:tabs>
              <w:spacing w:line="240" w:lineRule="auto"/>
              <w:rPr>
                <w:rFonts w:eastAsia="Times New Roman" w:cs="Arial"/>
                <w:color w:val="000000"/>
                <w:kern w:val="0"/>
                <w:lang w:eastAsia="en-GB"/>
              </w:rPr>
            </w:pPr>
            <w:r w:rsidRPr="00C7355A">
              <w:t>20</w:t>
            </w:r>
          </w:p>
        </w:tc>
        <w:tc>
          <w:tcPr>
            <w:tcW w:w="880" w:type="pct"/>
            <w:shd w:val="clear" w:color="auto" w:fill="auto"/>
            <w:noWrap/>
            <w:hideMark/>
          </w:tcPr>
          <w:p w14:paraId="0F58064C" w14:textId="5CBA77F1" w:rsidR="00B815D7" w:rsidRPr="001E7776" w:rsidRDefault="00B815D7" w:rsidP="00B815D7">
            <w:pPr>
              <w:tabs>
                <w:tab w:val="clear" w:pos="284"/>
              </w:tabs>
              <w:spacing w:line="240" w:lineRule="auto"/>
              <w:rPr>
                <w:rFonts w:eastAsia="Times New Roman" w:cs="Arial"/>
                <w:color w:val="000000"/>
                <w:kern w:val="0"/>
                <w:lang w:eastAsia="en-GB"/>
              </w:rPr>
            </w:pPr>
            <w:r w:rsidRPr="00C7355A">
              <w:t>176</w:t>
            </w:r>
          </w:p>
        </w:tc>
        <w:tc>
          <w:tcPr>
            <w:tcW w:w="880" w:type="pct"/>
            <w:shd w:val="clear" w:color="auto" w:fill="auto"/>
            <w:noWrap/>
            <w:hideMark/>
          </w:tcPr>
          <w:p w14:paraId="3EF643E3" w14:textId="01959AB8" w:rsidR="00B815D7" w:rsidRPr="001E7776" w:rsidRDefault="00B815D7" w:rsidP="00B815D7">
            <w:pPr>
              <w:tabs>
                <w:tab w:val="clear" w:pos="284"/>
              </w:tabs>
              <w:spacing w:line="240" w:lineRule="auto"/>
              <w:rPr>
                <w:rFonts w:eastAsia="Times New Roman" w:cs="Arial"/>
                <w:color w:val="000000"/>
                <w:kern w:val="0"/>
                <w:lang w:eastAsia="en-GB"/>
              </w:rPr>
            </w:pPr>
            <w:r w:rsidRPr="00C7355A">
              <w:t>109</w:t>
            </w:r>
          </w:p>
        </w:tc>
        <w:tc>
          <w:tcPr>
            <w:tcW w:w="880" w:type="pct"/>
            <w:shd w:val="clear" w:color="auto" w:fill="auto"/>
            <w:noWrap/>
            <w:hideMark/>
          </w:tcPr>
          <w:p w14:paraId="089730BD" w14:textId="0BB0A32C" w:rsidR="00B815D7" w:rsidRPr="001E7776" w:rsidRDefault="00B815D7" w:rsidP="00B815D7">
            <w:pPr>
              <w:tabs>
                <w:tab w:val="clear" w:pos="284"/>
              </w:tabs>
              <w:spacing w:line="240" w:lineRule="auto"/>
              <w:rPr>
                <w:rFonts w:eastAsia="Times New Roman" w:cs="Arial"/>
                <w:color w:val="000000"/>
                <w:kern w:val="0"/>
                <w:lang w:eastAsia="en-GB"/>
              </w:rPr>
            </w:pPr>
            <w:r w:rsidRPr="00C7355A">
              <w:t>145</w:t>
            </w:r>
          </w:p>
        </w:tc>
      </w:tr>
      <w:tr w:rsidR="00B815D7" w:rsidRPr="001E7776" w14:paraId="1CB0F938" w14:textId="77777777" w:rsidTr="001E7776">
        <w:trPr>
          <w:trHeight w:val="300"/>
        </w:trPr>
        <w:tc>
          <w:tcPr>
            <w:tcW w:w="600" w:type="pct"/>
            <w:shd w:val="clear" w:color="auto" w:fill="auto"/>
            <w:noWrap/>
            <w:hideMark/>
          </w:tcPr>
          <w:p w14:paraId="3B52C1C9" w14:textId="7FDCAAF6" w:rsidR="00B815D7" w:rsidRPr="001E7776" w:rsidRDefault="00B815D7" w:rsidP="00B815D7">
            <w:pPr>
              <w:tabs>
                <w:tab w:val="clear" w:pos="284"/>
              </w:tabs>
              <w:spacing w:line="240" w:lineRule="auto"/>
              <w:rPr>
                <w:rFonts w:eastAsia="Times New Roman" w:cs="Arial"/>
                <w:color w:val="000000"/>
                <w:kern w:val="0"/>
                <w:lang w:eastAsia="en-GB"/>
              </w:rPr>
            </w:pPr>
            <w:r w:rsidRPr="00C7355A">
              <w:t>2014</w:t>
            </w:r>
          </w:p>
        </w:tc>
        <w:tc>
          <w:tcPr>
            <w:tcW w:w="880" w:type="pct"/>
            <w:shd w:val="clear" w:color="auto" w:fill="auto"/>
            <w:noWrap/>
            <w:hideMark/>
          </w:tcPr>
          <w:p w14:paraId="70E119C1" w14:textId="04B22E4F" w:rsidR="00B815D7" w:rsidRPr="001E7776" w:rsidRDefault="00B815D7" w:rsidP="00B815D7">
            <w:pPr>
              <w:tabs>
                <w:tab w:val="clear" w:pos="284"/>
              </w:tabs>
              <w:spacing w:line="240" w:lineRule="auto"/>
              <w:rPr>
                <w:rFonts w:eastAsia="Times New Roman" w:cs="Arial"/>
                <w:color w:val="000000"/>
                <w:kern w:val="0"/>
                <w:lang w:eastAsia="en-GB"/>
              </w:rPr>
            </w:pPr>
            <w:r w:rsidRPr="00C7355A">
              <w:t>3</w:t>
            </w:r>
          </w:p>
        </w:tc>
        <w:tc>
          <w:tcPr>
            <w:tcW w:w="880" w:type="pct"/>
            <w:shd w:val="clear" w:color="auto" w:fill="auto"/>
            <w:noWrap/>
            <w:hideMark/>
          </w:tcPr>
          <w:p w14:paraId="06A5E3DF" w14:textId="235906EA" w:rsidR="00B815D7" w:rsidRPr="001E7776" w:rsidRDefault="00B815D7" w:rsidP="00B815D7">
            <w:pPr>
              <w:tabs>
                <w:tab w:val="clear" w:pos="284"/>
              </w:tabs>
              <w:spacing w:line="240" w:lineRule="auto"/>
              <w:rPr>
                <w:rFonts w:eastAsia="Times New Roman" w:cs="Arial"/>
                <w:color w:val="000000"/>
                <w:kern w:val="0"/>
                <w:lang w:eastAsia="en-GB"/>
              </w:rPr>
            </w:pPr>
            <w:r w:rsidRPr="00C7355A">
              <w:t>18</w:t>
            </w:r>
          </w:p>
        </w:tc>
        <w:tc>
          <w:tcPr>
            <w:tcW w:w="880" w:type="pct"/>
            <w:shd w:val="clear" w:color="auto" w:fill="auto"/>
            <w:noWrap/>
            <w:hideMark/>
          </w:tcPr>
          <w:p w14:paraId="2523A513" w14:textId="06E83098" w:rsidR="00B815D7" w:rsidRPr="001E7776" w:rsidRDefault="00B815D7" w:rsidP="00B815D7">
            <w:pPr>
              <w:tabs>
                <w:tab w:val="clear" w:pos="284"/>
              </w:tabs>
              <w:spacing w:line="240" w:lineRule="auto"/>
              <w:rPr>
                <w:rFonts w:eastAsia="Times New Roman" w:cs="Arial"/>
                <w:color w:val="000000"/>
                <w:kern w:val="0"/>
                <w:lang w:eastAsia="en-GB"/>
              </w:rPr>
            </w:pPr>
            <w:r w:rsidRPr="00C7355A">
              <w:t>180</w:t>
            </w:r>
          </w:p>
        </w:tc>
        <w:tc>
          <w:tcPr>
            <w:tcW w:w="880" w:type="pct"/>
            <w:shd w:val="clear" w:color="auto" w:fill="auto"/>
            <w:noWrap/>
            <w:hideMark/>
          </w:tcPr>
          <w:p w14:paraId="6380932E" w14:textId="62352839" w:rsidR="00B815D7" w:rsidRPr="001E7776" w:rsidRDefault="00B815D7" w:rsidP="00B815D7">
            <w:pPr>
              <w:tabs>
                <w:tab w:val="clear" w:pos="284"/>
              </w:tabs>
              <w:spacing w:line="240" w:lineRule="auto"/>
              <w:rPr>
                <w:rFonts w:eastAsia="Times New Roman" w:cs="Arial"/>
                <w:color w:val="000000"/>
                <w:kern w:val="0"/>
                <w:lang w:eastAsia="en-GB"/>
              </w:rPr>
            </w:pPr>
            <w:r w:rsidRPr="00C7355A">
              <w:t>100</w:t>
            </w:r>
          </w:p>
        </w:tc>
        <w:tc>
          <w:tcPr>
            <w:tcW w:w="880" w:type="pct"/>
            <w:shd w:val="clear" w:color="auto" w:fill="auto"/>
            <w:noWrap/>
            <w:hideMark/>
          </w:tcPr>
          <w:p w14:paraId="569B3E46" w14:textId="541FC4B5" w:rsidR="00B815D7" w:rsidRPr="001E7776" w:rsidRDefault="00B815D7" w:rsidP="00B815D7">
            <w:pPr>
              <w:tabs>
                <w:tab w:val="clear" w:pos="284"/>
              </w:tabs>
              <w:spacing w:line="240" w:lineRule="auto"/>
              <w:rPr>
                <w:rFonts w:eastAsia="Times New Roman" w:cs="Arial"/>
                <w:color w:val="000000"/>
                <w:kern w:val="0"/>
                <w:lang w:eastAsia="en-GB"/>
              </w:rPr>
            </w:pPr>
            <w:r w:rsidRPr="00C7355A">
              <w:t>167</w:t>
            </w:r>
          </w:p>
        </w:tc>
      </w:tr>
      <w:tr w:rsidR="00B815D7" w:rsidRPr="001E7776" w14:paraId="56119362" w14:textId="77777777" w:rsidTr="001E7776">
        <w:trPr>
          <w:trHeight w:val="300"/>
        </w:trPr>
        <w:tc>
          <w:tcPr>
            <w:tcW w:w="600" w:type="pct"/>
            <w:shd w:val="clear" w:color="auto" w:fill="auto"/>
            <w:noWrap/>
            <w:hideMark/>
          </w:tcPr>
          <w:p w14:paraId="4C55A180" w14:textId="259A0281" w:rsidR="00B815D7" w:rsidRPr="001E7776" w:rsidRDefault="00B815D7" w:rsidP="00B815D7">
            <w:pPr>
              <w:tabs>
                <w:tab w:val="clear" w:pos="284"/>
              </w:tabs>
              <w:spacing w:line="240" w:lineRule="auto"/>
              <w:rPr>
                <w:rFonts w:eastAsia="Times New Roman" w:cs="Arial"/>
                <w:b/>
                <w:color w:val="000000"/>
                <w:kern w:val="0"/>
                <w:lang w:eastAsia="en-GB"/>
              </w:rPr>
            </w:pPr>
            <w:r w:rsidRPr="00C7355A">
              <w:t>2036</w:t>
            </w:r>
          </w:p>
        </w:tc>
        <w:tc>
          <w:tcPr>
            <w:tcW w:w="880" w:type="pct"/>
            <w:shd w:val="clear" w:color="auto" w:fill="auto"/>
            <w:noWrap/>
            <w:hideMark/>
          </w:tcPr>
          <w:p w14:paraId="0C218245" w14:textId="6F8027B2" w:rsidR="00B815D7" w:rsidRPr="001E7776" w:rsidRDefault="00B815D7" w:rsidP="00B815D7">
            <w:pPr>
              <w:tabs>
                <w:tab w:val="clear" w:pos="284"/>
              </w:tabs>
              <w:spacing w:line="240" w:lineRule="auto"/>
              <w:rPr>
                <w:rFonts w:eastAsia="Times New Roman" w:cs="Arial"/>
                <w:b/>
                <w:color w:val="000000"/>
                <w:kern w:val="0"/>
                <w:lang w:eastAsia="en-GB"/>
              </w:rPr>
            </w:pPr>
            <w:r w:rsidRPr="00C7355A">
              <w:t>3</w:t>
            </w:r>
          </w:p>
        </w:tc>
        <w:tc>
          <w:tcPr>
            <w:tcW w:w="880" w:type="pct"/>
            <w:shd w:val="clear" w:color="auto" w:fill="auto"/>
            <w:noWrap/>
            <w:hideMark/>
          </w:tcPr>
          <w:p w14:paraId="7C8F5194" w14:textId="1BDCE4BE" w:rsidR="00B815D7" w:rsidRPr="001E7776" w:rsidRDefault="00B815D7" w:rsidP="00B815D7">
            <w:pPr>
              <w:tabs>
                <w:tab w:val="clear" w:pos="284"/>
              </w:tabs>
              <w:spacing w:line="240" w:lineRule="auto"/>
              <w:rPr>
                <w:rFonts w:eastAsia="Times New Roman" w:cs="Arial"/>
                <w:b/>
                <w:color w:val="000000"/>
                <w:kern w:val="0"/>
                <w:lang w:eastAsia="en-GB"/>
              </w:rPr>
            </w:pPr>
            <w:r w:rsidRPr="00C7355A">
              <w:t>18</w:t>
            </w:r>
          </w:p>
        </w:tc>
        <w:tc>
          <w:tcPr>
            <w:tcW w:w="880" w:type="pct"/>
            <w:shd w:val="clear" w:color="auto" w:fill="auto"/>
            <w:noWrap/>
            <w:hideMark/>
          </w:tcPr>
          <w:p w14:paraId="213983AB" w14:textId="286E0882" w:rsidR="00B815D7" w:rsidRPr="001E7776" w:rsidRDefault="00B815D7" w:rsidP="00B815D7">
            <w:pPr>
              <w:tabs>
                <w:tab w:val="clear" w:pos="284"/>
              </w:tabs>
              <w:spacing w:line="240" w:lineRule="auto"/>
              <w:rPr>
                <w:rFonts w:eastAsia="Times New Roman" w:cs="Arial"/>
                <w:b/>
                <w:color w:val="000000"/>
                <w:kern w:val="0"/>
                <w:lang w:eastAsia="en-GB"/>
              </w:rPr>
            </w:pPr>
            <w:r w:rsidRPr="00C7355A">
              <w:t>157</w:t>
            </w:r>
          </w:p>
        </w:tc>
        <w:tc>
          <w:tcPr>
            <w:tcW w:w="880" w:type="pct"/>
            <w:shd w:val="clear" w:color="auto" w:fill="auto"/>
            <w:noWrap/>
            <w:hideMark/>
          </w:tcPr>
          <w:p w14:paraId="367CF5FD" w14:textId="30DE9335" w:rsidR="00B815D7" w:rsidRPr="001E7776" w:rsidRDefault="00B815D7" w:rsidP="00B815D7">
            <w:pPr>
              <w:tabs>
                <w:tab w:val="clear" w:pos="284"/>
              </w:tabs>
              <w:spacing w:line="240" w:lineRule="auto"/>
              <w:rPr>
                <w:rFonts w:eastAsia="Times New Roman" w:cs="Arial"/>
                <w:b/>
                <w:color w:val="000000"/>
                <w:kern w:val="0"/>
                <w:lang w:eastAsia="en-GB"/>
              </w:rPr>
            </w:pPr>
            <w:r w:rsidRPr="00C7355A">
              <w:t>100</w:t>
            </w:r>
          </w:p>
        </w:tc>
        <w:tc>
          <w:tcPr>
            <w:tcW w:w="880" w:type="pct"/>
            <w:shd w:val="clear" w:color="auto" w:fill="auto"/>
            <w:noWrap/>
            <w:hideMark/>
          </w:tcPr>
          <w:p w14:paraId="72F5AD98" w14:textId="65143F62" w:rsidR="00B815D7" w:rsidRPr="001E7776" w:rsidRDefault="00B815D7" w:rsidP="00B815D7">
            <w:pPr>
              <w:tabs>
                <w:tab w:val="clear" w:pos="284"/>
              </w:tabs>
              <w:spacing w:line="240" w:lineRule="auto"/>
              <w:rPr>
                <w:rFonts w:eastAsia="Times New Roman" w:cs="Arial"/>
                <w:b/>
                <w:color w:val="000000"/>
                <w:kern w:val="0"/>
                <w:lang w:eastAsia="en-GB"/>
              </w:rPr>
            </w:pPr>
            <w:r w:rsidRPr="00C7355A">
              <w:t>262</w:t>
            </w:r>
          </w:p>
        </w:tc>
      </w:tr>
    </w:tbl>
    <w:p w14:paraId="7B4FF77B" w14:textId="77777777" w:rsidR="001E7776" w:rsidRPr="001E7776" w:rsidRDefault="001E7776" w:rsidP="006E5E1E">
      <w:pPr>
        <w:pStyle w:val="Source"/>
      </w:pPr>
      <w:r w:rsidRPr="001E7776">
        <w:t xml:space="preserve">Source: </w:t>
      </w:r>
      <w:r w:rsidRPr="001E7776">
        <w:rPr>
          <w:lang w:eastAsia="en-GB"/>
        </w:rPr>
        <w:t>ONS 2011(</w:t>
      </w:r>
      <w:r w:rsidRPr="001E7776">
        <w:rPr>
          <w:lang w:val="en" w:eastAsia="en-GB"/>
        </w:rPr>
        <w:t>QS111EW) (LC4201EW)</w:t>
      </w:r>
      <w:r w:rsidRPr="001E7776">
        <w:rPr>
          <w:lang w:eastAsia="en-GB"/>
        </w:rPr>
        <w:t xml:space="preserve"> </w:t>
      </w:r>
      <w:r w:rsidRPr="001E7776">
        <w:t>AECOM Calculations</w:t>
      </w:r>
    </w:p>
    <w:p w14:paraId="45D62491" w14:textId="7E52074E" w:rsidR="001E7776" w:rsidRPr="001E7776" w:rsidRDefault="001E7776" w:rsidP="006E5E1E">
      <w:pPr>
        <w:pStyle w:val="ListNumber"/>
        <w:rPr>
          <w:lang w:eastAsia="en-GB"/>
        </w:rPr>
      </w:pPr>
      <w:r w:rsidRPr="001E7776">
        <w:rPr>
          <w:lang w:eastAsia="en-GB"/>
        </w:rPr>
        <w:lastRenderedPageBreak/>
        <w:t xml:space="preserve">In </w:t>
      </w:r>
      <w:r w:rsidRPr="001E7776">
        <w:rPr>
          <w:lang w:eastAsia="en-GB"/>
        </w:rPr>
        <w:fldChar w:fldCharType="begin"/>
      </w:r>
      <w:r w:rsidRPr="001E7776">
        <w:rPr>
          <w:lang w:eastAsia="en-GB"/>
        </w:rPr>
        <w:instrText xml:space="preserve"> REF _Ref525814425 \h </w:instrText>
      </w:r>
      <w:r w:rsidR="00BC6ADA">
        <w:rPr>
          <w:lang w:eastAsia="en-GB"/>
        </w:rPr>
        <w:instrText xml:space="preserve"> \* MERGEFORMAT </w:instrText>
      </w:r>
      <w:r w:rsidRPr="001E7776">
        <w:rPr>
          <w:lang w:eastAsia="en-GB"/>
        </w:rPr>
      </w:r>
      <w:r w:rsidRPr="001E7776">
        <w:rPr>
          <w:lang w:eastAsia="en-GB"/>
        </w:rPr>
        <w:fldChar w:fldCharType="separate"/>
      </w:r>
      <w:r w:rsidR="004F6699" w:rsidRPr="00D56987">
        <w:rPr>
          <w:lang w:eastAsia="en-GB"/>
        </w:rPr>
        <w:t>Table 5</w:t>
      </w:r>
      <w:r w:rsidR="004F6699" w:rsidRPr="00D56987">
        <w:rPr>
          <w:lang w:eastAsia="en-GB"/>
        </w:rPr>
        <w:noBreakHyphen/>
        <w:t>11</w:t>
      </w:r>
      <w:r w:rsidRPr="001E7776">
        <w:rPr>
          <w:lang w:eastAsia="en-GB"/>
        </w:rPr>
        <w:fldChar w:fldCharType="end"/>
      </w:r>
      <w:r w:rsidRPr="001E7776">
        <w:rPr>
          <w:lang w:eastAsia="en-GB"/>
        </w:rPr>
        <w:t xml:space="preserve"> below, we again use data from the MHCLG 2014-based household projections and set out the distribution of dwellings of different sizes according to the age of the HRP. </w:t>
      </w:r>
    </w:p>
    <w:p w14:paraId="4345A452" w14:textId="5A887083" w:rsidR="001E7776" w:rsidRPr="001E7776" w:rsidRDefault="001E7776" w:rsidP="001E7776">
      <w:pPr>
        <w:keepNext/>
        <w:spacing w:after="120"/>
        <w:ind w:left="425"/>
        <w:rPr>
          <w:rFonts w:asciiTheme="majorHAnsi" w:hAnsiTheme="majorHAnsi"/>
          <w:b/>
          <w:bCs/>
          <w:color w:val="00B5E2" w:themeColor="accent1"/>
          <w:sz w:val="20"/>
        </w:rPr>
      </w:pPr>
      <w:bookmarkStart w:id="125" w:name="_Ref525814425"/>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11</w:t>
      </w:r>
      <w:r w:rsidRPr="001E7776">
        <w:rPr>
          <w:rFonts w:asciiTheme="majorHAnsi" w:hAnsiTheme="majorHAnsi"/>
          <w:b/>
          <w:bCs/>
          <w:noProof/>
          <w:color w:val="00B5E2" w:themeColor="accent1"/>
          <w:sz w:val="20"/>
        </w:rPr>
        <w:fldChar w:fldCharType="end"/>
      </w:r>
      <w:bookmarkEnd w:id="125"/>
      <w:r w:rsidRPr="001E7776">
        <w:rPr>
          <w:rFonts w:asciiTheme="majorHAnsi" w:hAnsiTheme="majorHAnsi"/>
          <w:b/>
          <w:bCs/>
          <w:color w:val="00B5E2" w:themeColor="accent1"/>
          <w:sz w:val="20"/>
        </w:rPr>
        <w:t>: Age of household reference person to size, grouped (</w:t>
      </w:r>
      <w:r w:rsidR="00A61EB3">
        <w:rPr>
          <w:rFonts w:asciiTheme="majorHAnsi" w:hAnsiTheme="majorHAnsi"/>
          <w:b/>
          <w:bCs/>
          <w:color w:val="00B5E2" w:themeColor="accent1"/>
          <w:sz w:val="20"/>
        </w:rPr>
        <w:t>Babergh</w:t>
      </w:r>
      <w:r w:rsidRPr="001E7776">
        <w:rPr>
          <w:rFonts w:asciiTheme="majorHAnsi" w:hAnsiTheme="majorHAnsi"/>
          <w:b/>
          <w:bCs/>
          <w:color w:val="00B5E2" w:themeColor="accent1"/>
          <w:sz w:val="20"/>
        </w:rPr>
        <w:t>)</w:t>
      </w:r>
    </w:p>
    <w:tbl>
      <w:tblPr>
        <w:tblW w:w="4776"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630"/>
        <w:gridCol w:w="1630"/>
        <w:gridCol w:w="1628"/>
        <w:gridCol w:w="1628"/>
        <w:gridCol w:w="1630"/>
      </w:tblGrid>
      <w:tr w:rsidR="001E7776" w:rsidRPr="001E7776" w14:paraId="4680526E" w14:textId="77777777" w:rsidTr="001E7776">
        <w:trPr>
          <w:trHeight w:val="288"/>
        </w:trPr>
        <w:tc>
          <w:tcPr>
            <w:tcW w:w="677" w:type="pct"/>
            <w:shd w:val="clear" w:color="auto" w:fill="000000"/>
            <w:noWrap/>
            <w:tcMar>
              <w:top w:w="15" w:type="dxa"/>
              <w:left w:w="15" w:type="dxa"/>
              <w:bottom w:w="0" w:type="dxa"/>
              <w:right w:w="15" w:type="dxa"/>
            </w:tcMar>
            <w:vAlign w:val="center"/>
            <w:hideMark/>
          </w:tcPr>
          <w:p w14:paraId="61BDA8DE" w14:textId="77777777" w:rsidR="001E7776" w:rsidRPr="001E7776" w:rsidRDefault="001E7776" w:rsidP="001E7776">
            <w:pPr>
              <w:rPr>
                <w:rFonts w:cs="Arial"/>
                <w:b/>
                <w:szCs w:val="22"/>
              </w:rPr>
            </w:pPr>
          </w:p>
        </w:tc>
        <w:tc>
          <w:tcPr>
            <w:tcW w:w="865" w:type="pct"/>
            <w:shd w:val="clear" w:color="auto" w:fill="000000"/>
            <w:noWrap/>
            <w:tcMar>
              <w:top w:w="15" w:type="dxa"/>
              <w:left w:w="15" w:type="dxa"/>
              <w:bottom w:w="0" w:type="dxa"/>
              <w:right w:w="15" w:type="dxa"/>
            </w:tcMar>
            <w:vAlign w:val="center"/>
            <w:hideMark/>
          </w:tcPr>
          <w:p w14:paraId="440426A3" w14:textId="77777777" w:rsidR="001E7776" w:rsidRPr="001E7776" w:rsidRDefault="001E7776" w:rsidP="001E7776">
            <w:pPr>
              <w:rPr>
                <w:rFonts w:cs="Arial"/>
                <w:b/>
                <w:szCs w:val="22"/>
              </w:rPr>
            </w:pPr>
            <w:r w:rsidRPr="001E7776">
              <w:rPr>
                <w:rFonts w:cs="Arial"/>
                <w:b/>
                <w:szCs w:val="22"/>
              </w:rPr>
              <w:t>Age of HRP 16 to 24</w:t>
            </w:r>
          </w:p>
        </w:tc>
        <w:tc>
          <w:tcPr>
            <w:tcW w:w="865" w:type="pct"/>
            <w:shd w:val="clear" w:color="auto" w:fill="000000"/>
            <w:noWrap/>
            <w:tcMar>
              <w:top w:w="15" w:type="dxa"/>
              <w:left w:w="15" w:type="dxa"/>
              <w:bottom w:w="0" w:type="dxa"/>
              <w:right w:w="15" w:type="dxa"/>
            </w:tcMar>
            <w:vAlign w:val="center"/>
            <w:hideMark/>
          </w:tcPr>
          <w:p w14:paraId="6E4B1AD2" w14:textId="77777777" w:rsidR="001E7776" w:rsidRPr="001E7776" w:rsidRDefault="001E7776" w:rsidP="001E7776">
            <w:pPr>
              <w:rPr>
                <w:rFonts w:cs="Arial"/>
                <w:b/>
                <w:szCs w:val="22"/>
              </w:rPr>
            </w:pPr>
            <w:r w:rsidRPr="001E7776">
              <w:rPr>
                <w:rFonts w:cs="Arial"/>
                <w:b/>
                <w:szCs w:val="22"/>
              </w:rPr>
              <w:t>Age of HRP under 35</w:t>
            </w:r>
          </w:p>
        </w:tc>
        <w:tc>
          <w:tcPr>
            <w:tcW w:w="864" w:type="pct"/>
            <w:shd w:val="clear" w:color="auto" w:fill="000000"/>
            <w:noWrap/>
            <w:tcMar>
              <w:top w:w="15" w:type="dxa"/>
              <w:left w:w="15" w:type="dxa"/>
              <w:bottom w:w="0" w:type="dxa"/>
              <w:right w:w="15" w:type="dxa"/>
            </w:tcMar>
            <w:vAlign w:val="center"/>
            <w:hideMark/>
          </w:tcPr>
          <w:p w14:paraId="5250E1CD" w14:textId="77777777" w:rsidR="001E7776" w:rsidRPr="001E7776" w:rsidRDefault="001E7776" w:rsidP="001E7776">
            <w:pPr>
              <w:rPr>
                <w:rFonts w:cs="Arial"/>
                <w:b/>
                <w:szCs w:val="22"/>
              </w:rPr>
            </w:pPr>
            <w:r w:rsidRPr="001E7776">
              <w:rPr>
                <w:rFonts w:cs="Arial"/>
                <w:b/>
                <w:szCs w:val="22"/>
              </w:rPr>
              <w:t>Age of HRP 35 to 54</w:t>
            </w:r>
          </w:p>
        </w:tc>
        <w:tc>
          <w:tcPr>
            <w:tcW w:w="864" w:type="pct"/>
            <w:shd w:val="clear" w:color="auto" w:fill="000000"/>
            <w:noWrap/>
            <w:tcMar>
              <w:top w:w="15" w:type="dxa"/>
              <w:left w:w="15" w:type="dxa"/>
              <w:bottom w:w="0" w:type="dxa"/>
              <w:right w:w="15" w:type="dxa"/>
            </w:tcMar>
            <w:vAlign w:val="center"/>
            <w:hideMark/>
          </w:tcPr>
          <w:p w14:paraId="03F34487" w14:textId="77777777" w:rsidR="001E7776" w:rsidRPr="001E7776" w:rsidRDefault="001E7776" w:rsidP="001E7776">
            <w:pPr>
              <w:rPr>
                <w:rFonts w:cs="Arial"/>
                <w:b/>
                <w:szCs w:val="22"/>
              </w:rPr>
            </w:pPr>
            <w:r w:rsidRPr="001E7776">
              <w:rPr>
                <w:rFonts w:cs="Arial"/>
                <w:b/>
                <w:szCs w:val="22"/>
              </w:rPr>
              <w:t>Age of HRP 55 to 64</w:t>
            </w:r>
          </w:p>
        </w:tc>
        <w:tc>
          <w:tcPr>
            <w:tcW w:w="865" w:type="pct"/>
            <w:shd w:val="clear" w:color="auto" w:fill="000000"/>
            <w:noWrap/>
            <w:tcMar>
              <w:top w:w="15" w:type="dxa"/>
              <w:left w:w="15" w:type="dxa"/>
              <w:bottom w:w="0" w:type="dxa"/>
              <w:right w:w="15" w:type="dxa"/>
            </w:tcMar>
            <w:vAlign w:val="center"/>
            <w:hideMark/>
          </w:tcPr>
          <w:p w14:paraId="2698945C" w14:textId="77777777" w:rsidR="001E7776" w:rsidRPr="001E7776" w:rsidRDefault="001E7776" w:rsidP="001E7776">
            <w:pPr>
              <w:rPr>
                <w:rFonts w:cs="Arial"/>
                <w:b/>
                <w:szCs w:val="22"/>
              </w:rPr>
            </w:pPr>
            <w:r w:rsidRPr="001E7776">
              <w:rPr>
                <w:rFonts w:cs="Arial"/>
                <w:b/>
                <w:szCs w:val="22"/>
              </w:rPr>
              <w:t>Age of HRP 65 and over</w:t>
            </w:r>
          </w:p>
        </w:tc>
      </w:tr>
      <w:tr w:rsidR="00B84D34" w:rsidRPr="001E7776" w14:paraId="1BD08A48" w14:textId="77777777" w:rsidTr="001E7776">
        <w:trPr>
          <w:trHeight w:val="288"/>
        </w:trPr>
        <w:tc>
          <w:tcPr>
            <w:tcW w:w="677" w:type="pct"/>
            <w:shd w:val="clear" w:color="auto" w:fill="auto"/>
            <w:noWrap/>
            <w:tcMar>
              <w:top w:w="15" w:type="dxa"/>
              <w:left w:w="15" w:type="dxa"/>
              <w:bottom w:w="0" w:type="dxa"/>
              <w:right w:w="15" w:type="dxa"/>
            </w:tcMar>
            <w:hideMark/>
          </w:tcPr>
          <w:p w14:paraId="43E72AF7" w14:textId="77777777" w:rsidR="00B84D34" w:rsidRPr="001E7776" w:rsidRDefault="00B84D34" w:rsidP="00B84D34">
            <w:pPr>
              <w:rPr>
                <w:rFonts w:cs="Arial"/>
                <w:szCs w:val="22"/>
              </w:rPr>
            </w:pPr>
            <w:r w:rsidRPr="001E7776">
              <w:rPr>
                <w:rFonts w:cs="Arial"/>
                <w:szCs w:val="22"/>
              </w:rPr>
              <w:t>1 bedroom</w:t>
            </w:r>
          </w:p>
        </w:tc>
        <w:tc>
          <w:tcPr>
            <w:tcW w:w="865" w:type="pct"/>
            <w:shd w:val="clear" w:color="auto" w:fill="auto"/>
            <w:noWrap/>
            <w:tcMar>
              <w:top w:w="15" w:type="dxa"/>
              <w:left w:w="15" w:type="dxa"/>
              <w:bottom w:w="0" w:type="dxa"/>
              <w:right w:w="15" w:type="dxa"/>
            </w:tcMar>
            <w:hideMark/>
          </w:tcPr>
          <w:p w14:paraId="166819E1" w14:textId="2714F3B9" w:rsidR="00B84D34" w:rsidRPr="001E7776" w:rsidRDefault="00B84D34" w:rsidP="00B84D34">
            <w:pPr>
              <w:rPr>
                <w:rFonts w:cs="Arial"/>
                <w:szCs w:val="22"/>
              </w:rPr>
            </w:pPr>
            <w:r w:rsidRPr="00227963">
              <w:t>20.3%</w:t>
            </w:r>
          </w:p>
        </w:tc>
        <w:tc>
          <w:tcPr>
            <w:tcW w:w="865" w:type="pct"/>
            <w:shd w:val="clear" w:color="auto" w:fill="auto"/>
            <w:noWrap/>
            <w:tcMar>
              <w:top w:w="15" w:type="dxa"/>
              <w:left w:w="15" w:type="dxa"/>
              <w:bottom w:w="0" w:type="dxa"/>
              <w:right w:w="15" w:type="dxa"/>
            </w:tcMar>
            <w:hideMark/>
          </w:tcPr>
          <w:p w14:paraId="32B57F8A" w14:textId="705E4836" w:rsidR="00B84D34" w:rsidRPr="001E7776" w:rsidRDefault="00B84D34" w:rsidP="00B84D34">
            <w:pPr>
              <w:rPr>
                <w:rFonts w:cs="Arial"/>
                <w:szCs w:val="22"/>
              </w:rPr>
            </w:pPr>
            <w:r w:rsidRPr="00227963">
              <w:t>10.6%</w:t>
            </w:r>
          </w:p>
        </w:tc>
        <w:tc>
          <w:tcPr>
            <w:tcW w:w="864" w:type="pct"/>
            <w:shd w:val="clear" w:color="auto" w:fill="auto"/>
            <w:noWrap/>
            <w:tcMar>
              <w:top w:w="15" w:type="dxa"/>
              <w:left w:w="15" w:type="dxa"/>
              <w:bottom w:w="0" w:type="dxa"/>
              <w:right w:w="15" w:type="dxa"/>
            </w:tcMar>
            <w:hideMark/>
          </w:tcPr>
          <w:p w14:paraId="77EAB0D0" w14:textId="20DE4812" w:rsidR="00B84D34" w:rsidRPr="001E7776" w:rsidRDefault="00B84D34" w:rsidP="00B84D34">
            <w:pPr>
              <w:rPr>
                <w:rFonts w:cs="Arial"/>
                <w:szCs w:val="22"/>
              </w:rPr>
            </w:pPr>
            <w:r w:rsidRPr="00227963">
              <w:t>4.5%</w:t>
            </w:r>
          </w:p>
        </w:tc>
        <w:tc>
          <w:tcPr>
            <w:tcW w:w="864" w:type="pct"/>
            <w:shd w:val="clear" w:color="auto" w:fill="auto"/>
            <w:noWrap/>
            <w:tcMar>
              <w:top w:w="15" w:type="dxa"/>
              <w:left w:w="15" w:type="dxa"/>
              <w:bottom w:w="0" w:type="dxa"/>
              <w:right w:w="15" w:type="dxa"/>
            </w:tcMar>
            <w:hideMark/>
          </w:tcPr>
          <w:p w14:paraId="018E1A0C" w14:textId="5B697643" w:rsidR="00B84D34" w:rsidRPr="001E7776" w:rsidRDefault="00B84D34" w:rsidP="00B84D34">
            <w:pPr>
              <w:rPr>
                <w:rFonts w:cs="Arial"/>
                <w:szCs w:val="22"/>
              </w:rPr>
            </w:pPr>
            <w:r w:rsidRPr="00227963">
              <w:t>4.9%</w:t>
            </w:r>
          </w:p>
        </w:tc>
        <w:tc>
          <w:tcPr>
            <w:tcW w:w="865" w:type="pct"/>
            <w:shd w:val="clear" w:color="auto" w:fill="auto"/>
            <w:noWrap/>
            <w:tcMar>
              <w:top w:w="15" w:type="dxa"/>
              <w:left w:w="15" w:type="dxa"/>
              <w:bottom w:w="0" w:type="dxa"/>
              <w:right w:w="15" w:type="dxa"/>
            </w:tcMar>
            <w:hideMark/>
          </w:tcPr>
          <w:p w14:paraId="4389E2D9" w14:textId="03F472B7" w:rsidR="00B84D34" w:rsidRPr="001E7776" w:rsidRDefault="00B84D34" w:rsidP="00B84D34">
            <w:pPr>
              <w:rPr>
                <w:rFonts w:cs="Arial"/>
                <w:szCs w:val="22"/>
              </w:rPr>
            </w:pPr>
            <w:r w:rsidRPr="00227963">
              <w:t>7.6%</w:t>
            </w:r>
          </w:p>
        </w:tc>
      </w:tr>
      <w:tr w:rsidR="00B84D34" w:rsidRPr="001E7776" w14:paraId="5011BC13" w14:textId="77777777" w:rsidTr="001E7776">
        <w:trPr>
          <w:trHeight w:val="288"/>
        </w:trPr>
        <w:tc>
          <w:tcPr>
            <w:tcW w:w="677" w:type="pct"/>
            <w:shd w:val="clear" w:color="auto" w:fill="auto"/>
            <w:noWrap/>
            <w:tcMar>
              <w:top w:w="15" w:type="dxa"/>
              <w:left w:w="15" w:type="dxa"/>
              <w:bottom w:w="0" w:type="dxa"/>
              <w:right w:w="15" w:type="dxa"/>
            </w:tcMar>
            <w:hideMark/>
          </w:tcPr>
          <w:p w14:paraId="2A55BD3B" w14:textId="77777777" w:rsidR="00B84D34" w:rsidRPr="001E7776" w:rsidRDefault="00B84D34" w:rsidP="00B84D34">
            <w:pPr>
              <w:rPr>
                <w:rFonts w:cs="Arial"/>
                <w:szCs w:val="22"/>
              </w:rPr>
            </w:pPr>
            <w:r w:rsidRPr="001E7776">
              <w:rPr>
                <w:rFonts w:cs="Arial"/>
                <w:szCs w:val="22"/>
              </w:rPr>
              <w:t>2 bedrooms</w:t>
            </w:r>
          </w:p>
        </w:tc>
        <w:tc>
          <w:tcPr>
            <w:tcW w:w="865" w:type="pct"/>
            <w:shd w:val="clear" w:color="auto" w:fill="auto"/>
            <w:noWrap/>
            <w:tcMar>
              <w:top w:w="15" w:type="dxa"/>
              <w:left w:w="15" w:type="dxa"/>
              <w:bottom w:w="0" w:type="dxa"/>
              <w:right w:w="15" w:type="dxa"/>
            </w:tcMar>
            <w:hideMark/>
          </w:tcPr>
          <w:p w14:paraId="36494871" w14:textId="0E0352DA" w:rsidR="00B84D34" w:rsidRPr="001E7776" w:rsidRDefault="00B84D34" w:rsidP="00B84D34">
            <w:pPr>
              <w:rPr>
                <w:rFonts w:cs="Arial"/>
                <w:szCs w:val="22"/>
              </w:rPr>
            </w:pPr>
            <w:r w:rsidRPr="00227963">
              <w:t>49.8%</w:t>
            </w:r>
          </w:p>
        </w:tc>
        <w:tc>
          <w:tcPr>
            <w:tcW w:w="865" w:type="pct"/>
            <w:shd w:val="clear" w:color="auto" w:fill="auto"/>
            <w:noWrap/>
            <w:tcMar>
              <w:top w:w="15" w:type="dxa"/>
              <w:left w:w="15" w:type="dxa"/>
              <w:bottom w:w="0" w:type="dxa"/>
              <w:right w:w="15" w:type="dxa"/>
            </w:tcMar>
            <w:hideMark/>
          </w:tcPr>
          <w:p w14:paraId="346CDFE2" w14:textId="5A5ECD46" w:rsidR="00B84D34" w:rsidRPr="001E7776" w:rsidRDefault="00B84D34" w:rsidP="00B84D34">
            <w:pPr>
              <w:rPr>
                <w:rFonts w:cs="Arial"/>
                <w:szCs w:val="22"/>
              </w:rPr>
            </w:pPr>
            <w:r w:rsidRPr="00227963">
              <w:t>38.7%</w:t>
            </w:r>
          </w:p>
        </w:tc>
        <w:tc>
          <w:tcPr>
            <w:tcW w:w="864" w:type="pct"/>
            <w:shd w:val="clear" w:color="auto" w:fill="auto"/>
            <w:noWrap/>
            <w:tcMar>
              <w:top w:w="15" w:type="dxa"/>
              <w:left w:w="15" w:type="dxa"/>
              <w:bottom w:w="0" w:type="dxa"/>
              <w:right w:w="15" w:type="dxa"/>
            </w:tcMar>
            <w:hideMark/>
          </w:tcPr>
          <w:p w14:paraId="4FD5A9DB" w14:textId="50042490" w:rsidR="00B84D34" w:rsidRPr="001E7776" w:rsidRDefault="00B84D34" w:rsidP="00B84D34">
            <w:pPr>
              <w:rPr>
                <w:rFonts w:cs="Arial"/>
                <w:szCs w:val="22"/>
              </w:rPr>
            </w:pPr>
            <w:r w:rsidRPr="00227963">
              <w:t>19.1%</w:t>
            </w:r>
          </w:p>
        </w:tc>
        <w:tc>
          <w:tcPr>
            <w:tcW w:w="864" w:type="pct"/>
            <w:shd w:val="clear" w:color="auto" w:fill="auto"/>
            <w:noWrap/>
            <w:tcMar>
              <w:top w:w="15" w:type="dxa"/>
              <w:left w:w="15" w:type="dxa"/>
              <w:bottom w:w="0" w:type="dxa"/>
              <w:right w:w="15" w:type="dxa"/>
            </w:tcMar>
            <w:hideMark/>
          </w:tcPr>
          <w:p w14:paraId="52E21EB5" w14:textId="52102B95" w:rsidR="00B84D34" w:rsidRPr="001E7776" w:rsidRDefault="00B84D34" w:rsidP="00B84D34">
            <w:pPr>
              <w:rPr>
                <w:rFonts w:cs="Arial"/>
                <w:szCs w:val="22"/>
              </w:rPr>
            </w:pPr>
            <w:r w:rsidRPr="00227963">
              <w:t>20.5%</w:t>
            </w:r>
          </w:p>
        </w:tc>
        <w:tc>
          <w:tcPr>
            <w:tcW w:w="865" w:type="pct"/>
            <w:shd w:val="clear" w:color="auto" w:fill="auto"/>
            <w:noWrap/>
            <w:tcMar>
              <w:top w:w="15" w:type="dxa"/>
              <w:left w:w="15" w:type="dxa"/>
              <w:bottom w:w="0" w:type="dxa"/>
              <w:right w:w="15" w:type="dxa"/>
            </w:tcMar>
            <w:hideMark/>
          </w:tcPr>
          <w:p w14:paraId="47C0F206" w14:textId="238832B9" w:rsidR="00B84D34" w:rsidRPr="001E7776" w:rsidRDefault="00B84D34" w:rsidP="00B84D34">
            <w:pPr>
              <w:rPr>
                <w:rFonts w:cs="Arial"/>
                <w:szCs w:val="22"/>
              </w:rPr>
            </w:pPr>
            <w:r w:rsidRPr="00227963">
              <w:t>30.4%</w:t>
            </w:r>
          </w:p>
        </w:tc>
      </w:tr>
      <w:tr w:rsidR="00B84D34" w:rsidRPr="001E7776" w14:paraId="7754F389" w14:textId="77777777" w:rsidTr="001E7776">
        <w:trPr>
          <w:trHeight w:val="288"/>
        </w:trPr>
        <w:tc>
          <w:tcPr>
            <w:tcW w:w="677" w:type="pct"/>
            <w:shd w:val="clear" w:color="auto" w:fill="auto"/>
            <w:noWrap/>
            <w:tcMar>
              <w:top w:w="15" w:type="dxa"/>
              <w:left w:w="15" w:type="dxa"/>
              <w:bottom w:w="0" w:type="dxa"/>
              <w:right w:w="15" w:type="dxa"/>
            </w:tcMar>
            <w:hideMark/>
          </w:tcPr>
          <w:p w14:paraId="53691452" w14:textId="77777777" w:rsidR="00B84D34" w:rsidRPr="001E7776" w:rsidRDefault="00B84D34" w:rsidP="00B84D34">
            <w:pPr>
              <w:rPr>
                <w:rFonts w:cs="Arial"/>
                <w:szCs w:val="22"/>
              </w:rPr>
            </w:pPr>
            <w:r w:rsidRPr="001E7776">
              <w:rPr>
                <w:rFonts w:cs="Arial"/>
                <w:szCs w:val="22"/>
              </w:rPr>
              <w:t>3 bedrooms</w:t>
            </w:r>
          </w:p>
        </w:tc>
        <w:tc>
          <w:tcPr>
            <w:tcW w:w="865" w:type="pct"/>
            <w:shd w:val="clear" w:color="auto" w:fill="auto"/>
            <w:noWrap/>
            <w:tcMar>
              <w:top w:w="15" w:type="dxa"/>
              <w:left w:w="15" w:type="dxa"/>
              <w:bottom w:w="0" w:type="dxa"/>
              <w:right w:w="15" w:type="dxa"/>
            </w:tcMar>
            <w:hideMark/>
          </w:tcPr>
          <w:p w14:paraId="013D6B74" w14:textId="3E4F345A" w:rsidR="00B84D34" w:rsidRPr="001E7776" w:rsidRDefault="00B84D34" w:rsidP="00B84D34">
            <w:pPr>
              <w:rPr>
                <w:rFonts w:cs="Arial"/>
                <w:szCs w:val="22"/>
              </w:rPr>
            </w:pPr>
            <w:r w:rsidRPr="00227963">
              <w:t>26.3%</w:t>
            </w:r>
          </w:p>
        </w:tc>
        <w:tc>
          <w:tcPr>
            <w:tcW w:w="865" w:type="pct"/>
            <w:shd w:val="clear" w:color="auto" w:fill="auto"/>
            <w:noWrap/>
            <w:tcMar>
              <w:top w:w="15" w:type="dxa"/>
              <w:left w:w="15" w:type="dxa"/>
              <w:bottom w:w="0" w:type="dxa"/>
              <w:right w:w="15" w:type="dxa"/>
            </w:tcMar>
            <w:hideMark/>
          </w:tcPr>
          <w:p w14:paraId="2C4FF691" w14:textId="0E5807F4" w:rsidR="00B84D34" w:rsidRPr="001E7776" w:rsidRDefault="00B84D34" w:rsidP="00B84D34">
            <w:pPr>
              <w:rPr>
                <w:rFonts w:cs="Arial"/>
                <w:szCs w:val="22"/>
              </w:rPr>
            </w:pPr>
            <w:r w:rsidRPr="00227963">
              <w:t>40.1%</w:t>
            </w:r>
          </w:p>
        </w:tc>
        <w:tc>
          <w:tcPr>
            <w:tcW w:w="864" w:type="pct"/>
            <w:shd w:val="clear" w:color="auto" w:fill="auto"/>
            <w:noWrap/>
            <w:tcMar>
              <w:top w:w="15" w:type="dxa"/>
              <w:left w:w="15" w:type="dxa"/>
              <w:bottom w:w="0" w:type="dxa"/>
              <w:right w:w="15" w:type="dxa"/>
            </w:tcMar>
            <w:hideMark/>
          </w:tcPr>
          <w:p w14:paraId="12B2DFB6" w14:textId="45DBBD9F" w:rsidR="00B84D34" w:rsidRPr="001E7776" w:rsidRDefault="00B84D34" w:rsidP="00B84D34">
            <w:pPr>
              <w:rPr>
                <w:rFonts w:cs="Arial"/>
                <w:szCs w:val="22"/>
              </w:rPr>
            </w:pPr>
            <w:r w:rsidRPr="00227963">
              <w:t>43.5%</w:t>
            </w:r>
          </w:p>
        </w:tc>
        <w:tc>
          <w:tcPr>
            <w:tcW w:w="864" w:type="pct"/>
            <w:shd w:val="clear" w:color="auto" w:fill="auto"/>
            <w:noWrap/>
            <w:tcMar>
              <w:top w:w="15" w:type="dxa"/>
              <w:left w:w="15" w:type="dxa"/>
              <w:bottom w:w="0" w:type="dxa"/>
              <w:right w:w="15" w:type="dxa"/>
            </w:tcMar>
            <w:hideMark/>
          </w:tcPr>
          <w:p w14:paraId="733D0F96" w14:textId="007A2084" w:rsidR="00B84D34" w:rsidRPr="001E7776" w:rsidRDefault="00B84D34" w:rsidP="00B84D34">
            <w:pPr>
              <w:rPr>
                <w:rFonts w:cs="Arial"/>
                <w:szCs w:val="22"/>
              </w:rPr>
            </w:pPr>
            <w:r w:rsidRPr="00227963">
              <w:t>43.1%</w:t>
            </w:r>
          </w:p>
        </w:tc>
        <w:tc>
          <w:tcPr>
            <w:tcW w:w="865" w:type="pct"/>
            <w:shd w:val="clear" w:color="auto" w:fill="auto"/>
            <w:noWrap/>
            <w:tcMar>
              <w:top w:w="15" w:type="dxa"/>
              <w:left w:w="15" w:type="dxa"/>
              <w:bottom w:w="0" w:type="dxa"/>
              <w:right w:w="15" w:type="dxa"/>
            </w:tcMar>
            <w:hideMark/>
          </w:tcPr>
          <w:p w14:paraId="088BD41C" w14:textId="340AC17A" w:rsidR="00B84D34" w:rsidRPr="001E7776" w:rsidRDefault="00B84D34" w:rsidP="00B84D34">
            <w:pPr>
              <w:rPr>
                <w:rFonts w:cs="Arial"/>
                <w:szCs w:val="22"/>
              </w:rPr>
            </w:pPr>
            <w:r w:rsidRPr="00227963">
              <w:t>41.1%</w:t>
            </w:r>
          </w:p>
        </w:tc>
      </w:tr>
      <w:tr w:rsidR="00B84D34" w:rsidRPr="001E7776" w14:paraId="05E341B1" w14:textId="77777777" w:rsidTr="001E7776">
        <w:trPr>
          <w:trHeight w:val="288"/>
        </w:trPr>
        <w:tc>
          <w:tcPr>
            <w:tcW w:w="677" w:type="pct"/>
            <w:shd w:val="clear" w:color="auto" w:fill="auto"/>
            <w:noWrap/>
            <w:tcMar>
              <w:top w:w="15" w:type="dxa"/>
              <w:left w:w="15" w:type="dxa"/>
              <w:bottom w:w="0" w:type="dxa"/>
              <w:right w:w="15" w:type="dxa"/>
            </w:tcMar>
            <w:hideMark/>
          </w:tcPr>
          <w:p w14:paraId="110FC5E9" w14:textId="77777777" w:rsidR="00B84D34" w:rsidRPr="001E7776" w:rsidRDefault="00B84D34" w:rsidP="00B84D34">
            <w:pPr>
              <w:rPr>
                <w:rFonts w:cs="Arial"/>
                <w:szCs w:val="22"/>
              </w:rPr>
            </w:pPr>
            <w:r w:rsidRPr="001E7776">
              <w:rPr>
                <w:rFonts w:cs="Arial"/>
                <w:szCs w:val="22"/>
              </w:rPr>
              <w:t>4 bedrooms</w:t>
            </w:r>
          </w:p>
        </w:tc>
        <w:tc>
          <w:tcPr>
            <w:tcW w:w="865" w:type="pct"/>
            <w:shd w:val="clear" w:color="auto" w:fill="auto"/>
            <w:noWrap/>
            <w:tcMar>
              <w:top w:w="15" w:type="dxa"/>
              <w:left w:w="15" w:type="dxa"/>
              <w:bottom w:w="0" w:type="dxa"/>
              <w:right w:w="15" w:type="dxa"/>
            </w:tcMar>
            <w:hideMark/>
          </w:tcPr>
          <w:p w14:paraId="252827EE" w14:textId="5ECD4B8B" w:rsidR="00B84D34" w:rsidRPr="001E7776" w:rsidRDefault="00B84D34" w:rsidP="00B84D34">
            <w:pPr>
              <w:rPr>
                <w:rFonts w:cs="Arial"/>
                <w:szCs w:val="22"/>
              </w:rPr>
            </w:pPr>
            <w:r w:rsidRPr="00227963">
              <w:t>2.4%</w:t>
            </w:r>
          </w:p>
        </w:tc>
        <w:tc>
          <w:tcPr>
            <w:tcW w:w="865" w:type="pct"/>
            <w:shd w:val="clear" w:color="auto" w:fill="auto"/>
            <w:noWrap/>
            <w:tcMar>
              <w:top w:w="15" w:type="dxa"/>
              <w:left w:w="15" w:type="dxa"/>
              <w:bottom w:w="0" w:type="dxa"/>
              <w:right w:w="15" w:type="dxa"/>
            </w:tcMar>
            <w:hideMark/>
          </w:tcPr>
          <w:p w14:paraId="1090965A" w14:textId="6A42F337" w:rsidR="00B84D34" w:rsidRPr="001E7776" w:rsidRDefault="00B84D34" w:rsidP="00B84D34">
            <w:pPr>
              <w:rPr>
                <w:rFonts w:cs="Arial"/>
                <w:szCs w:val="22"/>
              </w:rPr>
            </w:pPr>
            <w:r w:rsidRPr="00227963">
              <w:t>8.4%</w:t>
            </w:r>
          </w:p>
        </w:tc>
        <w:tc>
          <w:tcPr>
            <w:tcW w:w="864" w:type="pct"/>
            <w:shd w:val="clear" w:color="auto" w:fill="auto"/>
            <w:noWrap/>
            <w:tcMar>
              <w:top w:w="15" w:type="dxa"/>
              <w:left w:w="15" w:type="dxa"/>
              <w:bottom w:w="0" w:type="dxa"/>
              <w:right w:w="15" w:type="dxa"/>
            </w:tcMar>
            <w:hideMark/>
          </w:tcPr>
          <w:p w14:paraId="15E4B9B7" w14:textId="3E7935F8" w:rsidR="00B84D34" w:rsidRPr="001E7776" w:rsidRDefault="00B84D34" w:rsidP="00B84D34">
            <w:pPr>
              <w:rPr>
                <w:rFonts w:cs="Arial"/>
                <w:szCs w:val="22"/>
              </w:rPr>
            </w:pPr>
            <w:r w:rsidRPr="00227963">
              <w:t>25.0%</w:t>
            </w:r>
          </w:p>
        </w:tc>
        <w:tc>
          <w:tcPr>
            <w:tcW w:w="864" w:type="pct"/>
            <w:shd w:val="clear" w:color="auto" w:fill="auto"/>
            <w:noWrap/>
            <w:tcMar>
              <w:top w:w="15" w:type="dxa"/>
              <w:left w:w="15" w:type="dxa"/>
              <w:bottom w:w="0" w:type="dxa"/>
              <w:right w:w="15" w:type="dxa"/>
            </w:tcMar>
            <w:hideMark/>
          </w:tcPr>
          <w:p w14:paraId="02B54BBE" w14:textId="79A11E74" w:rsidR="00B84D34" w:rsidRPr="001E7776" w:rsidRDefault="00B84D34" w:rsidP="00B84D34">
            <w:pPr>
              <w:rPr>
                <w:rFonts w:cs="Arial"/>
                <w:szCs w:val="22"/>
              </w:rPr>
            </w:pPr>
            <w:r w:rsidRPr="00227963">
              <w:t>24.5%</w:t>
            </w:r>
          </w:p>
        </w:tc>
        <w:tc>
          <w:tcPr>
            <w:tcW w:w="865" w:type="pct"/>
            <w:shd w:val="clear" w:color="auto" w:fill="auto"/>
            <w:noWrap/>
            <w:tcMar>
              <w:top w:w="15" w:type="dxa"/>
              <w:left w:w="15" w:type="dxa"/>
              <w:bottom w:w="0" w:type="dxa"/>
              <w:right w:w="15" w:type="dxa"/>
            </w:tcMar>
            <w:hideMark/>
          </w:tcPr>
          <w:p w14:paraId="00277C96" w14:textId="4D617D9D" w:rsidR="00B84D34" w:rsidRPr="001E7776" w:rsidRDefault="00B84D34" w:rsidP="00B84D34">
            <w:pPr>
              <w:rPr>
                <w:rFonts w:cs="Arial"/>
                <w:szCs w:val="22"/>
              </w:rPr>
            </w:pPr>
            <w:r w:rsidRPr="00227963">
              <w:t>16.4%</w:t>
            </w:r>
          </w:p>
        </w:tc>
      </w:tr>
      <w:tr w:rsidR="00B84D34" w:rsidRPr="001E7776" w14:paraId="15FFEB74" w14:textId="77777777" w:rsidTr="001E7776">
        <w:trPr>
          <w:trHeight w:val="288"/>
        </w:trPr>
        <w:tc>
          <w:tcPr>
            <w:tcW w:w="677" w:type="pct"/>
            <w:shd w:val="clear" w:color="auto" w:fill="auto"/>
            <w:noWrap/>
            <w:tcMar>
              <w:top w:w="15" w:type="dxa"/>
              <w:left w:w="15" w:type="dxa"/>
              <w:bottom w:w="0" w:type="dxa"/>
              <w:right w:w="15" w:type="dxa"/>
            </w:tcMar>
            <w:hideMark/>
          </w:tcPr>
          <w:p w14:paraId="7A5BDA70" w14:textId="77777777" w:rsidR="00B84D34" w:rsidRPr="001E7776" w:rsidRDefault="00B84D34" w:rsidP="00B84D34">
            <w:pPr>
              <w:rPr>
                <w:rFonts w:cs="Arial"/>
                <w:szCs w:val="22"/>
              </w:rPr>
            </w:pPr>
            <w:r w:rsidRPr="001E7776">
              <w:rPr>
                <w:rFonts w:cs="Arial"/>
                <w:szCs w:val="22"/>
              </w:rPr>
              <w:t>5+ bedrooms</w:t>
            </w:r>
          </w:p>
        </w:tc>
        <w:tc>
          <w:tcPr>
            <w:tcW w:w="865" w:type="pct"/>
            <w:shd w:val="clear" w:color="auto" w:fill="auto"/>
            <w:noWrap/>
            <w:tcMar>
              <w:top w:w="15" w:type="dxa"/>
              <w:left w:w="15" w:type="dxa"/>
              <w:bottom w:w="0" w:type="dxa"/>
              <w:right w:w="15" w:type="dxa"/>
            </w:tcMar>
            <w:hideMark/>
          </w:tcPr>
          <w:p w14:paraId="30D80504" w14:textId="5B76882D" w:rsidR="00B84D34" w:rsidRPr="001E7776" w:rsidRDefault="00B84D34" w:rsidP="00B84D34">
            <w:pPr>
              <w:rPr>
                <w:rFonts w:cs="Arial"/>
                <w:szCs w:val="22"/>
              </w:rPr>
            </w:pPr>
            <w:r w:rsidRPr="00227963">
              <w:t>1.2%</w:t>
            </w:r>
          </w:p>
        </w:tc>
        <w:tc>
          <w:tcPr>
            <w:tcW w:w="865" w:type="pct"/>
            <w:shd w:val="clear" w:color="auto" w:fill="auto"/>
            <w:noWrap/>
            <w:tcMar>
              <w:top w:w="15" w:type="dxa"/>
              <w:left w:w="15" w:type="dxa"/>
              <w:bottom w:w="0" w:type="dxa"/>
              <w:right w:w="15" w:type="dxa"/>
            </w:tcMar>
            <w:hideMark/>
          </w:tcPr>
          <w:p w14:paraId="6A45390D" w14:textId="24C7DCC6" w:rsidR="00B84D34" w:rsidRPr="001E7776" w:rsidRDefault="00B84D34" w:rsidP="00B84D34">
            <w:pPr>
              <w:rPr>
                <w:rFonts w:cs="Arial"/>
                <w:szCs w:val="22"/>
              </w:rPr>
            </w:pPr>
            <w:r w:rsidRPr="00227963">
              <w:t>2.1%</w:t>
            </w:r>
          </w:p>
        </w:tc>
        <w:tc>
          <w:tcPr>
            <w:tcW w:w="864" w:type="pct"/>
            <w:shd w:val="clear" w:color="auto" w:fill="auto"/>
            <w:noWrap/>
            <w:tcMar>
              <w:top w:w="15" w:type="dxa"/>
              <w:left w:w="15" w:type="dxa"/>
              <w:bottom w:w="0" w:type="dxa"/>
              <w:right w:w="15" w:type="dxa"/>
            </w:tcMar>
            <w:hideMark/>
          </w:tcPr>
          <w:p w14:paraId="7CAA9650" w14:textId="5A1FF658" w:rsidR="00B84D34" w:rsidRPr="001E7776" w:rsidRDefault="00B84D34" w:rsidP="00B84D34">
            <w:pPr>
              <w:rPr>
                <w:rFonts w:cs="Arial"/>
                <w:szCs w:val="22"/>
              </w:rPr>
            </w:pPr>
            <w:r w:rsidRPr="00227963">
              <w:t>8.0%</w:t>
            </w:r>
          </w:p>
        </w:tc>
        <w:tc>
          <w:tcPr>
            <w:tcW w:w="864" w:type="pct"/>
            <w:shd w:val="clear" w:color="auto" w:fill="auto"/>
            <w:noWrap/>
            <w:tcMar>
              <w:top w:w="15" w:type="dxa"/>
              <w:left w:w="15" w:type="dxa"/>
              <w:bottom w:w="0" w:type="dxa"/>
              <w:right w:w="15" w:type="dxa"/>
            </w:tcMar>
            <w:hideMark/>
          </w:tcPr>
          <w:p w14:paraId="37557F29" w14:textId="36D58010" w:rsidR="00B84D34" w:rsidRPr="001E7776" w:rsidRDefault="00B84D34" w:rsidP="00B84D34">
            <w:pPr>
              <w:rPr>
                <w:rFonts w:cs="Arial"/>
                <w:szCs w:val="22"/>
              </w:rPr>
            </w:pPr>
            <w:r w:rsidRPr="00227963">
              <w:t>7.1%</w:t>
            </w:r>
          </w:p>
        </w:tc>
        <w:tc>
          <w:tcPr>
            <w:tcW w:w="865" w:type="pct"/>
            <w:shd w:val="clear" w:color="auto" w:fill="auto"/>
            <w:noWrap/>
            <w:tcMar>
              <w:top w:w="15" w:type="dxa"/>
              <w:left w:w="15" w:type="dxa"/>
              <w:bottom w:w="0" w:type="dxa"/>
              <w:right w:w="15" w:type="dxa"/>
            </w:tcMar>
            <w:hideMark/>
          </w:tcPr>
          <w:p w14:paraId="65FC2AB9" w14:textId="5D345D7B" w:rsidR="00B84D34" w:rsidRPr="001E7776" w:rsidRDefault="00B84D34" w:rsidP="00B84D34">
            <w:pPr>
              <w:rPr>
                <w:rFonts w:cs="Arial"/>
                <w:szCs w:val="22"/>
              </w:rPr>
            </w:pPr>
            <w:r w:rsidRPr="00227963">
              <w:t>4.5%</w:t>
            </w:r>
          </w:p>
        </w:tc>
      </w:tr>
    </w:tbl>
    <w:p w14:paraId="15F8785E" w14:textId="77777777" w:rsidR="001E7776" w:rsidRPr="001E7776" w:rsidRDefault="001E7776" w:rsidP="006E5E1E">
      <w:pPr>
        <w:pStyle w:val="Source"/>
      </w:pPr>
      <w:r w:rsidRPr="001E7776">
        <w:rPr>
          <w:lang w:eastAsia="en-GB"/>
        </w:rPr>
        <w:t xml:space="preserve">Source(s): MHCLG 2014-based household projections, ONS 2011 (CT0621), </w:t>
      </w:r>
      <w:r w:rsidRPr="001E7776">
        <w:t>AECOM Calculations</w:t>
      </w:r>
    </w:p>
    <w:p w14:paraId="782E5C9A" w14:textId="0A4D89BD" w:rsidR="001E7776" w:rsidRDefault="001E7776" w:rsidP="006E5E1E">
      <w:pPr>
        <w:pStyle w:val="ListNumber"/>
      </w:pPr>
      <w:r w:rsidRPr="001E7776">
        <w:t xml:space="preserve">Having established the preference shown by households at different life-stages towards dwellings of different sizes, and the approximate number of households in </w:t>
      </w:r>
      <w:r w:rsidR="00BC6ADA">
        <w:t xml:space="preserve">both </w:t>
      </w:r>
      <w:r w:rsidR="00A61EB3">
        <w:t>Babergh</w:t>
      </w:r>
      <w:r w:rsidRPr="001E7776">
        <w:t xml:space="preserve"> and </w:t>
      </w:r>
      <w:r w:rsidR="00A61EB3">
        <w:t>Copdock and Washbrook</w:t>
      </w:r>
      <w:r w:rsidRPr="001E7776">
        <w:t xml:space="preserve"> falling into each of these stages at the end of the Plan period in 203</w:t>
      </w:r>
      <w:r w:rsidR="00B815D7">
        <w:t>6</w:t>
      </w:r>
      <w:r w:rsidRPr="001E7776">
        <w:t xml:space="preserve">, it is possible to put forward recommendations regarding how the housing stock should evolve in terms of size over the Plan period to overcome any misalignments between supply of dwellings and demand. </w:t>
      </w:r>
    </w:p>
    <w:p w14:paraId="25A37177" w14:textId="2BEF38EB" w:rsidR="001E7776" w:rsidRPr="001E7776" w:rsidRDefault="001E7776" w:rsidP="001E7776">
      <w:pPr>
        <w:keepNext/>
        <w:spacing w:after="120"/>
        <w:ind w:left="426"/>
        <w:rPr>
          <w:rFonts w:asciiTheme="majorHAnsi" w:hAnsiTheme="majorHAnsi"/>
          <w:b/>
          <w:bCs/>
          <w:sz w:val="20"/>
        </w:rPr>
      </w:pPr>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12</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t xml:space="preserve">: Ideal </w:t>
      </w:r>
      <w:r w:rsidR="00BC6ADA">
        <w:rPr>
          <w:rFonts w:asciiTheme="majorHAnsi" w:hAnsiTheme="majorHAnsi"/>
          <w:b/>
          <w:bCs/>
          <w:color w:val="00B5E2" w:themeColor="accent1"/>
          <w:sz w:val="20"/>
        </w:rPr>
        <w:t xml:space="preserve">dwelling </w:t>
      </w:r>
      <w:r w:rsidRPr="001E7776">
        <w:rPr>
          <w:rFonts w:asciiTheme="majorHAnsi" w:hAnsiTheme="majorHAnsi"/>
          <w:b/>
          <w:bCs/>
          <w:color w:val="00B5E2" w:themeColor="accent1"/>
          <w:sz w:val="20"/>
        </w:rPr>
        <w:t xml:space="preserve">size distribution in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 xml:space="preserve"> in </w:t>
      </w:r>
      <w:r w:rsidR="00B815D7">
        <w:rPr>
          <w:rFonts w:asciiTheme="majorHAnsi" w:hAnsiTheme="majorHAnsi"/>
          <w:b/>
          <w:bCs/>
          <w:color w:val="00B5E2" w:themeColor="accent1"/>
          <w:sz w:val="20"/>
        </w:rPr>
        <w:t>2036</w:t>
      </w:r>
      <w:r w:rsidRPr="001E7776">
        <w:rPr>
          <w:rFonts w:asciiTheme="majorHAnsi" w:hAnsiTheme="majorHAnsi"/>
          <w:b/>
          <w:bCs/>
          <w:color w:val="00B5E2" w:themeColor="accent1"/>
          <w:sz w:val="20"/>
        </w:rPr>
        <w:t xml:space="preserve">, </w:t>
      </w:r>
      <w:r w:rsidR="00BC6ADA">
        <w:rPr>
          <w:rFonts w:asciiTheme="majorHAnsi" w:hAnsiTheme="majorHAnsi"/>
          <w:b/>
          <w:bCs/>
          <w:color w:val="00B5E2" w:themeColor="accent1"/>
          <w:sz w:val="20"/>
        </w:rPr>
        <w:t xml:space="preserve">based on projection of </w:t>
      </w:r>
      <w:r w:rsidRPr="001E7776">
        <w:rPr>
          <w:rFonts w:asciiTheme="majorHAnsi" w:hAnsiTheme="majorHAnsi"/>
          <w:b/>
          <w:bCs/>
          <w:color w:val="00B5E2" w:themeColor="accent1"/>
          <w:sz w:val="20"/>
        </w:rPr>
        <w:t>household life-stages</w:t>
      </w:r>
    </w:p>
    <w:tbl>
      <w:tblPr>
        <w:tblW w:w="473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2"/>
        <w:gridCol w:w="1372"/>
        <w:gridCol w:w="1376"/>
        <w:gridCol w:w="1372"/>
        <w:gridCol w:w="1372"/>
        <w:gridCol w:w="1374"/>
      </w:tblGrid>
      <w:tr w:rsidR="001E7776" w:rsidRPr="001E7776" w14:paraId="592428DF" w14:textId="77777777" w:rsidTr="001E7776">
        <w:trPr>
          <w:trHeight w:val="288"/>
        </w:trPr>
        <w:tc>
          <w:tcPr>
            <w:tcW w:w="671" w:type="pct"/>
            <w:shd w:val="clear" w:color="auto" w:fill="000000"/>
            <w:noWrap/>
            <w:vAlign w:val="center"/>
          </w:tcPr>
          <w:p w14:paraId="0A449CE7" w14:textId="77777777" w:rsidR="001E7776" w:rsidRPr="001E7776" w:rsidRDefault="001E7776" w:rsidP="001E7776">
            <w:pPr>
              <w:tabs>
                <w:tab w:val="clear" w:pos="284"/>
              </w:tabs>
              <w:spacing w:line="240" w:lineRule="auto"/>
              <w:rPr>
                <w:rFonts w:eastAsia="Times New Roman" w:cs="Arial"/>
                <w:b/>
                <w:kern w:val="0"/>
                <w:lang w:eastAsia="en-GB"/>
              </w:rPr>
            </w:pPr>
          </w:p>
        </w:tc>
        <w:tc>
          <w:tcPr>
            <w:tcW w:w="721" w:type="pct"/>
            <w:shd w:val="clear" w:color="auto" w:fill="000000"/>
            <w:noWrap/>
            <w:vAlign w:val="center"/>
          </w:tcPr>
          <w:p w14:paraId="05440604" w14:textId="77777777" w:rsidR="001E7776" w:rsidRPr="001E7776" w:rsidRDefault="001E7776" w:rsidP="001E7776">
            <w:pPr>
              <w:tabs>
                <w:tab w:val="clear" w:pos="284"/>
              </w:tabs>
              <w:spacing w:line="240" w:lineRule="auto"/>
              <w:rPr>
                <w:rFonts w:eastAsia="Times New Roman" w:cs="Arial"/>
                <w:b/>
                <w:kern w:val="0"/>
                <w:lang w:eastAsia="en-GB"/>
              </w:rPr>
            </w:pPr>
            <w:r w:rsidRPr="001E7776">
              <w:rPr>
                <w:b/>
              </w:rPr>
              <w:t>Age of HRP 16 to 24</w:t>
            </w:r>
          </w:p>
        </w:tc>
        <w:tc>
          <w:tcPr>
            <w:tcW w:w="721" w:type="pct"/>
            <w:shd w:val="clear" w:color="auto" w:fill="000000"/>
            <w:noWrap/>
            <w:vAlign w:val="center"/>
          </w:tcPr>
          <w:p w14:paraId="1DA76E7E" w14:textId="77777777" w:rsidR="001E7776" w:rsidRPr="001E7776" w:rsidRDefault="001E7776" w:rsidP="001E7776">
            <w:pPr>
              <w:tabs>
                <w:tab w:val="clear" w:pos="284"/>
              </w:tabs>
              <w:spacing w:line="240" w:lineRule="auto"/>
              <w:rPr>
                <w:rFonts w:eastAsia="Times New Roman" w:cs="Arial"/>
                <w:b/>
                <w:kern w:val="0"/>
                <w:lang w:eastAsia="en-GB"/>
              </w:rPr>
            </w:pPr>
            <w:r w:rsidRPr="001E7776">
              <w:rPr>
                <w:b/>
              </w:rPr>
              <w:t>Age of HRP under 35</w:t>
            </w:r>
          </w:p>
        </w:tc>
        <w:tc>
          <w:tcPr>
            <w:tcW w:w="723" w:type="pct"/>
            <w:shd w:val="clear" w:color="auto" w:fill="000000"/>
            <w:noWrap/>
            <w:vAlign w:val="center"/>
          </w:tcPr>
          <w:p w14:paraId="3B46A39A" w14:textId="77777777" w:rsidR="001E7776" w:rsidRPr="001E7776" w:rsidRDefault="001E7776" w:rsidP="001E7776">
            <w:pPr>
              <w:tabs>
                <w:tab w:val="clear" w:pos="284"/>
              </w:tabs>
              <w:spacing w:line="240" w:lineRule="auto"/>
              <w:rPr>
                <w:rFonts w:eastAsia="Times New Roman" w:cs="Arial"/>
                <w:b/>
                <w:kern w:val="0"/>
                <w:lang w:eastAsia="en-GB"/>
              </w:rPr>
            </w:pPr>
            <w:r w:rsidRPr="001E7776">
              <w:rPr>
                <w:b/>
              </w:rPr>
              <w:t>Age of HRP 35 to 54</w:t>
            </w:r>
          </w:p>
        </w:tc>
        <w:tc>
          <w:tcPr>
            <w:tcW w:w="721" w:type="pct"/>
            <w:shd w:val="clear" w:color="auto" w:fill="000000"/>
            <w:noWrap/>
            <w:vAlign w:val="center"/>
          </w:tcPr>
          <w:p w14:paraId="1FFF1DE5" w14:textId="77777777" w:rsidR="001E7776" w:rsidRPr="001E7776" w:rsidRDefault="001E7776" w:rsidP="001E7776">
            <w:pPr>
              <w:tabs>
                <w:tab w:val="clear" w:pos="284"/>
              </w:tabs>
              <w:spacing w:line="240" w:lineRule="auto"/>
              <w:rPr>
                <w:rFonts w:eastAsia="Times New Roman" w:cs="Arial"/>
                <w:b/>
                <w:kern w:val="0"/>
                <w:lang w:eastAsia="en-GB"/>
              </w:rPr>
            </w:pPr>
            <w:r w:rsidRPr="001E7776">
              <w:rPr>
                <w:b/>
              </w:rPr>
              <w:t>Age of HRP 55 to 64</w:t>
            </w:r>
          </w:p>
        </w:tc>
        <w:tc>
          <w:tcPr>
            <w:tcW w:w="721" w:type="pct"/>
            <w:shd w:val="clear" w:color="auto" w:fill="000000"/>
            <w:noWrap/>
            <w:vAlign w:val="center"/>
          </w:tcPr>
          <w:p w14:paraId="192A9098" w14:textId="77777777" w:rsidR="001E7776" w:rsidRPr="001E7776" w:rsidRDefault="001E7776" w:rsidP="001E7776">
            <w:pPr>
              <w:tabs>
                <w:tab w:val="clear" w:pos="284"/>
              </w:tabs>
              <w:spacing w:line="240" w:lineRule="auto"/>
              <w:rPr>
                <w:rFonts w:eastAsia="Times New Roman" w:cs="Arial"/>
                <w:b/>
                <w:kern w:val="0"/>
                <w:lang w:eastAsia="en-GB"/>
              </w:rPr>
            </w:pPr>
            <w:r w:rsidRPr="001E7776">
              <w:rPr>
                <w:b/>
              </w:rPr>
              <w:t>Age of HRP 65 and over</w:t>
            </w:r>
          </w:p>
        </w:tc>
        <w:tc>
          <w:tcPr>
            <w:tcW w:w="722" w:type="pct"/>
            <w:shd w:val="clear" w:color="auto" w:fill="000000"/>
            <w:noWrap/>
            <w:vAlign w:val="center"/>
          </w:tcPr>
          <w:p w14:paraId="10F9C5C1" w14:textId="77777777" w:rsidR="001E7776" w:rsidRPr="001E7776" w:rsidRDefault="001E7776" w:rsidP="001E7776">
            <w:pPr>
              <w:tabs>
                <w:tab w:val="clear" w:pos="284"/>
              </w:tabs>
              <w:spacing w:line="240" w:lineRule="auto"/>
              <w:rPr>
                <w:rFonts w:eastAsia="Times New Roman" w:cs="Arial"/>
                <w:b/>
                <w:kern w:val="0"/>
                <w:lang w:eastAsia="en-GB"/>
              </w:rPr>
            </w:pPr>
            <w:r w:rsidRPr="001E7776">
              <w:rPr>
                <w:b/>
              </w:rPr>
              <w:t>Total Households requiring  dwelling sizes</w:t>
            </w:r>
          </w:p>
        </w:tc>
      </w:tr>
      <w:tr w:rsidR="00B815D7" w:rsidRPr="001E7776" w14:paraId="66EB4636" w14:textId="77777777" w:rsidTr="001E7776">
        <w:trPr>
          <w:trHeight w:val="288"/>
        </w:trPr>
        <w:tc>
          <w:tcPr>
            <w:tcW w:w="671" w:type="pct"/>
            <w:shd w:val="clear" w:color="auto" w:fill="auto"/>
            <w:noWrap/>
            <w:hideMark/>
          </w:tcPr>
          <w:p w14:paraId="5B40CFD9" w14:textId="67031D6D"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 xml:space="preserve">Pop </w:t>
            </w:r>
            <w:r>
              <w:rPr>
                <w:rFonts w:eastAsia="Times New Roman" w:cs="Arial"/>
                <w:kern w:val="0"/>
                <w:lang w:eastAsia="en-GB"/>
              </w:rPr>
              <w:t>2036</w:t>
            </w:r>
          </w:p>
        </w:tc>
        <w:tc>
          <w:tcPr>
            <w:tcW w:w="721" w:type="pct"/>
            <w:shd w:val="clear" w:color="auto" w:fill="auto"/>
            <w:noWrap/>
            <w:hideMark/>
          </w:tcPr>
          <w:p w14:paraId="607293B1" w14:textId="364DCB91" w:rsidR="00B815D7" w:rsidRPr="001E7776" w:rsidRDefault="00B815D7" w:rsidP="00B815D7">
            <w:pPr>
              <w:tabs>
                <w:tab w:val="clear" w:pos="284"/>
              </w:tabs>
              <w:spacing w:line="240" w:lineRule="auto"/>
              <w:rPr>
                <w:rFonts w:eastAsia="Times New Roman" w:cs="Arial"/>
                <w:kern w:val="0"/>
                <w:lang w:eastAsia="en-GB"/>
              </w:rPr>
            </w:pPr>
            <w:r w:rsidRPr="0021318C">
              <w:t>3</w:t>
            </w:r>
          </w:p>
        </w:tc>
        <w:tc>
          <w:tcPr>
            <w:tcW w:w="721" w:type="pct"/>
            <w:shd w:val="clear" w:color="auto" w:fill="auto"/>
            <w:noWrap/>
            <w:hideMark/>
          </w:tcPr>
          <w:p w14:paraId="2698E1AB" w14:textId="1E4B6FC2" w:rsidR="00B815D7" w:rsidRPr="001E7776" w:rsidRDefault="00B815D7" w:rsidP="00B815D7">
            <w:pPr>
              <w:tabs>
                <w:tab w:val="clear" w:pos="284"/>
              </w:tabs>
              <w:spacing w:line="240" w:lineRule="auto"/>
              <w:rPr>
                <w:rFonts w:eastAsia="Times New Roman" w:cs="Arial"/>
                <w:kern w:val="0"/>
                <w:lang w:eastAsia="en-GB"/>
              </w:rPr>
            </w:pPr>
            <w:r w:rsidRPr="0021318C">
              <w:t>18</w:t>
            </w:r>
          </w:p>
        </w:tc>
        <w:tc>
          <w:tcPr>
            <w:tcW w:w="723" w:type="pct"/>
            <w:shd w:val="clear" w:color="auto" w:fill="auto"/>
            <w:noWrap/>
            <w:hideMark/>
          </w:tcPr>
          <w:p w14:paraId="521613F8" w14:textId="7AFC5574" w:rsidR="00B815D7" w:rsidRPr="001E7776" w:rsidRDefault="00B815D7" w:rsidP="00B815D7">
            <w:pPr>
              <w:tabs>
                <w:tab w:val="clear" w:pos="284"/>
              </w:tabs>
              <w:spacing w:line="240" w:lineRule="auto"/>
              <w:rPr>
                <w:rFonts w:eastAsia="Times New Roman" w:cs="Arial"/>
                <w:kern w:val="0"/>
                <w:lang w:eastAsia="en-GB"/>
              </w:rPr>
            </w:pPr>
            <w:r w:rsidRPr="0021318C">
              <w:t>157</w:t>
            </w:r>
          </w:p>
        </w:tc>
        <w:tc>
          <w:tcPr>
            <w:tcW w:w="721" w:type="pct"/>
            <w:shd w:val="clear" w:color="auto" w:fill="auto"/>
            <w:noWrap/>
            <w:hideMark/>
          </w:tcPr>
          <w:p w14:paraId="3408E96F" w14:textId="39F4A24E" w:rsidR="00B815D7" w:rsidRPr="001E7776" w:rsidRDefault="00B815D7" w:rsidP="00B815D7">
            <w:pPr>
              <w:tabs>
                <w:tab w:val="clear" w:pos="284"/>
              </w:tabs>
              <w:spacing w:line="240" w:lineRule="auto"/>
              <w:rPr>
                <w:rFonts w:eastAsia="Times New Roman" w:cs="Arial"/>
                <w:kern w:val="0"/>
                <w:lang w:eastAsia="en-GB"/>
              </w:rPr>
            </w:pPr>
            <w:r w:rsidRPr="0021318C">
              <w:t>100</w:t>
            </w:r>
          </w:p>
        </w:tc>
        <w:tc>
          <w:tcPr>
            <w:tcW w:w="721" w:type="pct"/>
            <w:shd w:val="clear" w:color="auto" w:fill="auto"/>
            <w:noWrap/>
            <w:hideMark/>
          </w:tcPr>
          <w:p w14:paraId="54F02715" w14:textId="11328F04" w:rsidR="00B815D7" w:rsidRPr="001E7776" w:rsidRDefault="00B815D7" w:rsidP="00B815D7">
            <w:pPr>
              <w:tabs>
                <w:tab w:val="clear" w:pos="284"/>
              </w:tabs>
              <w:spacing w:line="240" w:lineRule="auto"/>
              <w:rPr>
                <w:rFonts w:eastAsia="Times New Roman" w:cs="Arial"/>
                <w:kern w:val="0"/>
                <w:lang w:eastAsia="en-GB"/>
              </w:rPr>
            </w:pPr>
            <w:r w:rsidRPr="0021318C">
              <w:t>262</w:t>
            </w:r>
          </w:p>
        </w:tc>
        <w:tc>
          <w:tcPr>
            <w:tcW w:w="722" w:type="pct"/>
            <w:shd w:val="clear" w:color="auto" w:fill="auto"/>
            <w:noWrap/>
            <w:hideMark/>
          </w:tcPr>
          <w:p w14:paraId="1C182FB7" w14:textId="6E44971D" w:rsidR="00B815D7" w:rsidRPr="001E7776" w:rsidRDefault="00B815D7" w:rsidP="00B815D7">
            <w:pPr>
              <w:tabs>
                <w:tab w:val="clear" w:pos="284"/>
              </w:tabs>
              <w:spacing w:line="240" w:lineRule="auto"/>
              <w:rPr>
                <w:rFonts w:eastAsia="Times New Roman" w:cs="Arial"/>
                <w:kern w:val="0"/>
                <w:lang w:eastAsia="en-GB"/>
              </w:rPr>
            </w:pPr>
            <w:r w:rsidRPr="0021318C">
              <w:t>-</w:t>
            </w:r>
          </w:p>
        </w:tc>
      </w:tr>
      <w:tr w:rsidR="00B815D7" w:rsidRPr="001E7776" w14:paraId="0330C05D" w14:textId="77777777" w:rsidTr="001E7776">
        <w:trPr>
          <w:trHeight w:val="288"/>
        </w:trPr>
        <w:tc>
          <w:tcPr>
            <w:tcW w:w="671" w:type="pct"/>
            <w:shd w:val="clear" w:color="auto" w:fill="auto"/>
            <w:noWrap/>
            <w:hideMark/>
          </w:tcPr>
          <w:p w14:paraId="6AF17170"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1 bedroom</w:t>
            </w:r>
          </w:p>
        </w:tc>
        <w:tc>
          <w:tcPr>
            <w:tcW w:w="721" w:type="pct"/>
            <w:shd w:val="clear" w:color="auto" w:fill="auto"/>
            <w:noWrap/>
            <w:hideMark/>
          </w:tcPr>
          <w:p w14:paraId="4B99BE23" w14:textId="5FFED7E5" w:rsidR="00B815D7" w:rsidRPr="001E7776" w:rsidRDefault="00B815D7" w:rsidP="00B815D7">
            <w:pPr>
              <w:tabs>
                <w:tab w:val="clear" w:pos="284"/>
              </w:tabs>
              <w:spacing w:line="240" w:lineRule="auto"/>
              <w:rPr>
                <w:rFonts w:eastAsia="Times New Roman" w:cs="Arial"/>
                <w:kern w:val="0"/>
                <w:lang w:eastAsia="en-GB"/>
              </w:rPr>
            </w:pPr>
            <w:r w:rsidRPr="0021318C">
              <w:t>1</w:t>
            </w:r>
          </w:p>
        </w:tc>
        <w:tc>
          <w:tcPr>
            <w:tcW w:w="721" w:type="pct"/>
            <w:shd w:val="clear" w:color="auto" w:fill="auto"/>
            <w:noWrap/>
            <w:hideMark/>
          </w:tcPr>
          <w:p w14:paraId="642026A5" w14:textId="69198A6E" w:rsidR="00B815D7" w:rsidRPr="001E7776" w:rsidRDefault="00B815D7" w:rsidP="00B815D7">
            <w:pPr>
              <w:tabs>
                <w:tab w:val="clear" w:pos="284"/>
              </w:tabs>
              <w:spacing w:line="240" w:lineRule="auto"/>
              <w:rPr>
                <w:rFonts w:eastAsia="Times New Roman" w:cs="Arial"/>
                <w:kern w:val="0"/>
                <w:lang w:eastAsia="en-GB"/>
              </w:rPr>
            </w:pPr>
            <w:r w:rsidRPr="0021318C">
              <w:t>2</w:t>
            </w:r>
          </w:p>
        </w:tc>
        <w:tc>
          <w:tcPr>
            <w:tcW w:w="723" w:type="pct"/>
            <w:shd w:val="clear" w:color="auto" w:fill="auto"/>
            <w:noWrap/>
            <w:hideMark/>
          </w:tcPr>
          <w:p w14:paraId="4077714A" w14:textId="26A59688" w:rsidR="00B815D7" w:rsidRPr="001E7776" w:rsidRDefault="00B815D7" w:rsidP="00B815D7">
            <w:pPr>
              <w:tabs>
                <w:tab w:val="clear" w:pos="284"/>
              </w:tabs>
              <w:spacing w:line="240" w:lineRule="auto"/>
              <w:rPr>
                <w:rFonts w:eastAsia="Times New Roman" w:cs="Arial"/>
                <w:kern w:val="0"/>
                <w:lang w:eastAsia="en-GB"/>
              </w:rPr>
            </w:pPr>
            <w:r w:rsidRPr="0021318C">
              <w:t>7</w:t>
            </w:r>
          </w:p>
        </w:tc>
        <w:tc>
          <w:tcPr>
            <w:tcW w:w="721" w:type="pct"/>
            <w:shd w:val="clear" w:color="auto" w:fill="auto"/>
            <w:noWrap/>
            <w:hideMark/>
          </w:tcPr>
          <w:p w14:paraId="41420C8F" w14:textId="65CE2184" w:rsidR="00B815D7" w:rsidRPr="001E7776" w:rsidRDefault="00B815D7" w:rsidP="00B815D7">
            <w:pPr>
              <w:tabs>
                <w:tab w:val="clear" w:pos="284"/>
              </w:tabs>
              <w:spacing w:line="240" w:lineRule="auto"/>
              <w:rPr>
                <w:rFonts w:eastAsia="Times New Roman" w:cs="Arial"/>
                <w:kern w:val="0"/>
                <w:lang w:eastAsia="en-GB"/>
              </w:rPr>
            </w:pPr>
            <w:r w:rsidRPr="0021318C">
              <w:t>5</w:t>
            </w:r>
          </w:p>
        </w:tc>
        <w:tc>
          <w:tcPr>
            <w:tcW w:w="721" w:type="pct"/>
            <w:shd w:val="clear" w:color="auto" w:fill="auto"/>
            <w:noWrap/>
            <w:hideMark/>
          </w:tcPr>
          <w:p w14:paraId="1DE89A46" w14:textId="0B9EF239" w:rsidR="00B815D7" w:rsidRPr="001E7776" w:rsidRDefault="00B815D7" w:rsidP="00B815D7">
            <w:pPr>
              <w:tabs>
                <w:tab w:val="clear" w:pos="284"/>
              </w:tabs>
              <w:spacing w:line="240" w:lineRule="auto"/>
              <w:rPr>
                <w:rFonts w:eastAsia="Times New Roman" w:cs="Arial"/>
                <w:kern w:val="0"/>
                <w:lang w:eastAsia="en-GB"/>
              </w:rPr>
            </w:pPr>
            <w:r w:rsidRPr="0021318C">
              <w:t>20</w:t>
            </w:r>
          </w:p>
        </w:tc>
        <w:tc>
          <w:tcPr>
            <w:tcW w:w="722" w:type="pct"/>
            <w:shd w:val="clear" w:color="auto" w:fill="auto"/>
            <w:noWrap/>
            <w:hideMark/>
          </w:tcPr>
          <w:p w14:paraId="7F733E7A" w14:textId="1DBD9889" w:rsidR="00B815D7" w:rsidRPr="001E7776" w:rsidRDefault="00B815D7" w:rsidP="00B815D7">
            <w:pPr>
              <w:tabs>
                <w:tab w:val="clear" w:pos="284"/>
              </w:tabs>
              <w:spacing w:line="240" w:lineRule="auto"/>
              <w:rPr>
                <w:rFonts w:eastAsia="Times New Roman" w:cs="Arial"/>
                <w:kern w:val="0"/>
                <w:lang w:eastAsia="en-GB"/>
              </w:rPr>
            </w:pPr>
            <w:r w:rsidRPr="0021318C">
              <w:t>34</w:t>
            </w:r>
          </w:p>
        </w:tc>
      </w:tr>
      <w:tr w:rsidR="00B815D7" w:rsidRPr="001E7776" w14:paraId="3752F971" w14:textId="77777777" w:rsidTr="001E7776">
        <w:trPr>
          <w:trHeight w:val="288"/>
        </w:trPr>
        <w:tc>
          <w:tcPr>
            <w:tcW w:w="671" w:type="pct"/>
            <w:shd w:val="clear" w:color="auto" w:fill="auto"/>
            <w:noWrap/>
            <w:hideMark/>
          </w:tcPr>
          <w:p w14:paraId="005074F3"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2 bedrooms</w:t>
            </w:r>
          </w:p>
        </w:tc>
        <w:tc>
          <w:tcPr>
            <w:tcW w:w="721" w:type="pct"/>
            <w:shd w:val="clear" w:color="auto" w:fill="auto"/>
            <w:noWrap/>
            <w:hideMark/>
          </w:tcPr>
          <w:p w14:paraId="29A3347F" w14:textId="2271AD5E" w:rsidR="00B815D7" w:rsidRPr="001E7776" w:rsidRDefault="00B815D7" w:rsidP="00B815D7">
            <w:pPr>
              <w:tabs>
                <w:tab w:val="clear" w:pos="284"/>
              </w:tabs>
              <w:spacing w:line="240" w:lineRule="auto"/>
              <w:rPr>
                <w:rFonts w:eastAsia="Times New Roman" w:cs="Arial"/>
                <w:kern w:val="0"/>
                <w:lang w:eastAsia="en-GB"/>
              </w:rPr>
            </w:pPr>
            <w:r w:rsidRPr="0021318C">
              <w:t>1</w:t>
            </w:r>
          </w:p>
        </w:tc>
        <w:tc>
          <w:tcPr>
            <w:tcW w:w="721" w:type="pct"/>
            <w:shd w:val="clear" w:color="auto" w:fill="auto"/>
            <w:noWrap/>
            <w:hideMark/>
          </w:tcPr>
          <w:p w14:paraId="7521A8AC" w14:textId="7BF70008" w:rsidR="00B815D7" w:rsidRPr="001E7776" w:rsidRDefault="00B815D7" w:rsidP="00B815D7">
            <w:pPr>
              <w:tabs>
                <w:tab w:val="clear" w:pos="284"/>
              </w:tabs>
              <w:spacing w:line="240" w:lineRule="auto"/>
              <w:rPr>
                <w:rFonts w:eastAsia="Times New Roman" w:cs="Arial"/>
                <w:kern w:val="0"/>
                <w:lang w:eastAsia="en-GB"/>
              </w:rPr>
            </w:pPr>
            <w:r w:rsidRPr="0021318C">
              <w:t>7</w:t>
            </w:r>
          </w:p>
        </w:tc>
        <w:tc>
          <w:tcPr>
            <w:tcW w:w="723" w:type="pct"/>
            <w:shd w:val="clear" w:color="auto" w:fill="auto"/>
            <w:noWrap/>
            <w:hideMark/>
          </w:tcPr>
          <w:p w14:paraId="2750B570" w14:textId="3892A3C0" w:rsidR="00B815D7" w:rsidRPr="001E7776" w:rsidRDefault="00B815D7" w:rsidP="00B815D7">
            <w:pPr>
              <w:tabs>
                <w:tab w:val="clear" w:pos="284"/>
              </w:tabs>
              <w:spacing w:line="240" w:lineRule="auto"/>
              <w:rPr>
                <w:rFonts w:eastAsia="Times New Roman" w:cs="Arial"/>
                <w:kern w:val="0"/>
                <w:lang w:eastAsia="en-GB"/>
              </w:rPr>
            </w:pPr>
            <w:r w:rsidRPr="0021318C">
              <w:t>30</w:t>
            </w:r>
          </w:p>
        </w:tc>
        <w:tc>
          <w:tcPr>
            <w:tcW w:w="721" w:type="pct"/>
            <w:shd w:val="clear" w:color="auto" w:fill="auto"/>
            <w:noWrap/>
            <w:hideMark/>
          </w:tcPr>
          <w:p w14:paraId="5E4D5357" w14:textId="70275E1B" w:rsidR="00B815D7" w:rsidRPr="001E7776" w:rsidRDefault="00B815D7" w:rsidP="00B815D7">
            <w:pPr>
              <w:tabs>
                <w:tab w:val="clear" w:pos="284"/>
              </w:tabs>
              <w:spacing w:line="240" w:lineRule="auto"/>
              <w:rPr>
                <w:rFonts w:eastAsia="Times New Roman" w:cs="Arial"/>
                <w:kern w:val="0"/>
                <w:lang w:eastAsia="en-GB"/>
              </w:rPr>
            </w:pPr>
            <w:r w:rsidRPr="0021318C">
              <w:t>21</w:t>
            </w:r>
          </w:p>
        </w:tc>
        <w:tc>
          <w:tcPr>
            <w:tcW w:w="721" w:type="pct"/>
            <w:shd w:val="clear" w:color="auto" w:fill="auto"/>
            <w:noWrap/>
            <w:hideMark/>
          </w:tcPr>
          <w:p w14:paraId="57831FA6" w14:textId="35225F35" w:rsidR="00B815D7" w:rsidRPr="001E7776" w:rsidRDefault="00B815D7" w:rsidP="00B815D7">
            <w:pPr>
              <w:tabs>
                <w:tab w:val="clear" w:pos="284"/>
              </w:tabs>
              <w:spacing w:line="240" w:lineRule="auto"/>
              <w:rPr>
                <w:rFonts w:eastAsia="Times New Roman" w:cs="Arial"/>
                <w:kern w:val="0"/>
                <w:lang w:eastAsia="en-GB"/>
              </w:rPr>
            </w:pPr>
            <w:r w:rsidRPr="0021318C">
              <w:t>80</w:t>
            </w:r>
          </w:p>
        </w:tc>
        <w:tc>
          <w:tcPr>
            <w:tcW w:w="722" w:type="pct"/>
            <w:shd w:val="clear" w:color="auto" w:fill="auto"/>
            <w:noWrap/>
            <w:hideMark/>
          </w:tcPr>
          <w:p w14:paraId="5C62047C" w14:textId="7D1CCBB6" w:rsidR="00B815D7" w:rsidRPr="001E7776" w:rsidRDefault="00B815D7" w:rsidP="00B815D7">
            <w:pPr>
              <w:tabs>
                <w:tab w:val="clear" w:pos="284"/>
              </w:tabs>
              <w:spacing w:line="240" w:lineRule="auto"/>
              <w:rPr>
                <w:rFonts w:eastAsia="Times New Roman" w:cs="Arial"/>
                <w:kern w:val="0"/>
                <w:lang w:eastAsia="en-GB"/>
              </w:rPr>
            </w:pPr>
            <w:r w:rsidRPr="0021318C">
              <w:t>139</w:t>
            </w:r>
          </w:p>
        </w:tc>
      </w:tr>
      <w:tr w:rsidR="00B815D7" w:rsidRPr="001E7776" w14:paraId="2BC5EE13" w14:textId="77777777" w:rsidTr="001E7776">
        <w:trPr>
          <w:trHeight w:val="288"/>
        </w:trPr>
        <w:tc>
          <w:tcPr>
            <w:tcW w:w="671" w:type="pct"/>
            <w:shd w:val="clear" w:color="auto" w:fill="auto"/>
            <w:noWrap/>
            <w:hideMark/>
          </w:tcPr>
          <w:p w14:paraId="05382937"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3 bedrooms</w:t>
            </w:r>
          </w:p>
        </w:tc>
        <w:tc>
          <w:tcPr>
            <w:tcW w:w="721" w:type="pct"/>
            <w:shd w:val="clear" w:color="auto" w:fill="auto"/>
            <w:noWrap/>
            <w:hideMark/>
          </w:tcPr>
          <w:p w14:paraId="5691C931" w14:textId="6573A538" w:rsidR="00B815D7" w:rsidRPr="001E7776" w:rsidRDefault="00B815D7" w:rsidP="00B815D7">
            <w:pPr>
              <w:tabs>
                <w:tab w:val="clear" w:pos="284"/>
              </w:tabs>
              <w:spacing w:line="240" w:lineRule="auto"/>
              <w:rPr>
                <w:rFonts w:eastAsia="Times New Roman" w:cs="Arial"/>
                <w:kern w:val="0"/>
                <w:lang w:eastAsia="en-GB"/>
              </w:rPr>
            </w:pPr>
            <w:r w:rsidRPr="0021318C">
              <w:t>1</w:t>
            </w:r>
          </w:p>
        </w:tc>
        <w:tc>
          <w:tcPr>
            <w:tcW w:w="721" w:type="pct"/>
            <w:shd w:val="clear" w:color="auto" w:fill="auto"/>
            <w:noWrap/>
            <w:hideMark/>
          </w:tcPr>
          <w:p w14:paraId="31E04F11" w14:textId="3E82B9E4" w:rsidR="00B815D7" w:rsidRPr="001E7776" w:rsidRDefault="00B815D7" w:rsidP="00B815D7">
            <w:pPr>
              <w:tabs>
                <w:tab w:val="clear" w:pos="284"/>
              </w:tabs>
              <w:spacing w:line="240" w:lineRule="auto"/>
              <w:rPr>
                <w:rFonts w:eastAsia="Times New Roman" w:cs="Arial"/>
                <w:kern w:val="0"/>
                <w:lang w:eastAsia="en-GB"/>
              </w:rPr>
            </w:pPr>
            <w:r w:rsidRPr="0021318C">
              <w:t>7</w:t>
            </w:r>
          </w:p>
        </w:tc>
        <w:tc>
          <w:tcPr>
            <w:tcW w:w="723" w:type="pct"/>
            <w:shd w:val="clear" w:color="auto" w:fill="auto"/>
            <w:noWrap/>
            <w:hideMark/>
          </w:tcPr>
          <w:p w14:paraId="05461918" w14:textId="1316D1CA" w:rsidR="00B815D7" w:rsidRPr="001E7776" w:rsidRDefault="00B815D7" w:rsidP="00B815D7">
            <w:pPr>
              <w:tabs>
                <w:tab w:val="clear" w:pos="284"/>
              </w:tabs>
              <w:spacing w:line="240" w:lineRule="auto"/>
              <w:rPr>
                <w:rFonts w:eastAsia="Times New Roman" w:cs="Arial"/>
                <w:kern w:val="0"/>
                <w:lang w:eastAsia="en-GB"/>
              </w:rPr>
            </w:pPr>
            <w:r w:rsidRPr="0021318C">
              <w:t>68</w:t>
            </w:r>
          </w:p>
        </w:tc>
        <w:tc>
          <w:tcPr>
            <w:tcW w:w="721" w:type="pct"/>
            <w:shd w:val="clear" w:color="auto" w:fill="auto"/>
            <w:noWrap/>
            <w:hideMark/>
          </w:tcPr>
          <w:p w14:paraId="6D3D5FFE" w14:textId="1F8052B5" w:rsidR="00B815D7" w:rsidRPr="001E7776" w:rsidRDefault="00B815D7" w:rsidP="00B815D7">
            <w:pPr>
              <w:tabs>
                <w:tab w:val="clear" w:pos="284"/>
              </w:tabs>
              <w:spacing w:line="240" w:lineRule="auto"/>
              <w:rPr>
                <w:rFonts w:eastAsia="Times New Roman" w:cs="Arial"/>
                <w:kern w:val="0"/>
                <w:lang w:eastAsia="en-GB"/>
              </w:rPr>
            </w:pPr>
            <w:r w:rsidRPr="0021318C">
              <w:t>43</w:t>
            </w:r>
          </w:p>
        </w:tc>
        <w:tc>
          <w:tcPr>
            <w:tcW w:w="721" w:type="pct"/>
            <w:shd w:val="clear" w:color="auto" w:fill="auto"/>
            <w:noWrap/>
            <w:hideMark/>
          </w:tcPr>
          <w:p w14:paraId="66988EE7" w14:textId="0AAD9524" w:rsidR="00B815D7" w:rsidRPr="001E7776" w:rsidRDefault="00B815D7" w:rsidP="00B815D7">
            <w:pPr>
              <w:tabs>
                <w:tab w:val="clear" w:pos="284"/>
              </w:tabs>
              <w:spacing w:line="240" w:lineRule="auto"/>
              <w:rPr>
                <w:rFonts w:eastAsia="Times New Roman" w:cs="Arial"/>
                <w:kern w:val="0"/>
                <w:lang w:eastAsia="en-GB"/>
              </w:rPr>
            </w:pPr>
            <w:r w:rsidRPr="0021318C">
              <w:t>108</w:t>
            </w:r>
          </w:p>
        </w:tc>
        <w:tc>
          <w:tcPr>
            <w:tcW w:w="722" w:type="pct"/>
            <w:shd w:val="clear" w:color="auto" w:fill="auto"/>
            <w:noWrap/>
            <w:hideMark/>
          </w:tcPr>
          <w:p w14:paraId="05AF2909" w14:textId="5422932C" w:rsidR="00B815D7" w:rsidRPr="001E7776" w:rsidRDefault="00B815D7" w:rsidP="00B815D7">
            <w:pPr>
              <w:tabs>
                <w:tab w:val="clear" w:pos="284"/>
              </w:tabs>
              <w:spacing w:line="240" w:lineRule="auto"/>
              <w:rPr>
                <w:rFonts w:eastAsia="Times New Roman" w:cs="Arial"/>
                <w:kern w:val="0"/>
                <w:lang w:eastAsia="en-GB"/>
              </w:rPr>
            </w:pPr>
            <w:r w:rsidRPr="0021318C">
              <w:t>227</w:t>
            </w:r>
          </w:p>
        </w:tc>
      </w:tr>
      <w:tr w:rsidR="00B815D7" w:rsidRPr="001E7776" w14:paraId="7C1FF973" w14:textId="77777777" w:rsidTr="001E7776">
        <w:trPr>
          <w:trHeight w:val="288"/>
        </w:trPr>
        <w:tc>
          <w:tcPr>
            <w:tcW w:w="671" w:type="pct"/>
            <w:shd w:val="clear" w:color="auto" w:fill="auto"/>
            <w:noWrap/>
            <w:hideMark/>
          </w:tcPr>
          <w:p w14:paraId="634B2465"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4 bedrooms</w:t>
            </w:r>
          </w:p>
        </w:tc>
        <w:tc>
          <w:tcPr>
            <w:tcW w:w="721" w:type="pct"/>
            <w:shd w:val="clear" w:color="auto" w:fill="auto"/>
            <w:noWrap/>
            <w:hideMark/>
          </w:tcPr>
          <w:p w14:paraId="54C01A32" w14:textId="171663AC" w:rsidR="00B815D7" w:rsidRPr="001E7776" w:rsidRDefault="00B815D7" w:rsidP="00B815D7">
            <w:pPr>
              <w:tabs>
                <w:tab w:val="clear" w:pos="284"/>
              </w:tabs>
              <w:spacing w:line="240" w:lineRule="auto"/>
              <w:rPr>
                <w:rFonts w:eastAsia="Times New Roman" w:cs="Arial"/>
                <w:kern w:val="0"/>
                <w:lang w:eastAsia="en-GB"/>
              </w:rPr>
            </w:pPr>
            <w:r w:rsidRPr="0021318C">
              <w:t>0</w:t>
            </w:r>
          </w:p>
        </w:tc>
        <w:tc>
          <w:tcPr>
            <w:tcW w:w="721" w:type="pct"/>
            <w:shd w:val="clear" w:color="auto" w:fill="auto"/>
            <w:noWrap/>
            <w:hideMark/>
          </w:tcPr>
          <w:p w14:paraId="68B9D265" w14:textId="337E9706" w:rsidR="00B815D7" w:rsidRPr="001E7776" w:rsidRDefault="00B815D7" w:rsidP="00B815D7">
            <w:pPr>
              <w:tabs>
                <w:tab w:val="clear" w:pos="284"/>
              </w:tabs>
              <w:spacing w:line="240" w:lineRule="auto"/>
              <w:rPr>
                <w:rFonts w:eastAsia="Times New Roman" w:cs="Arial"/>
                <w:kern w:val="0"/>
                <w:lang w:eastAsia="en-GB"/>
              </w:rPr>
            </w:pPr>
            <w:r w:rsidRPr="0021318C">
              <w:t>1</w:t>
            </w:r>
          </w:p>
        </w:tc>
        <w:tc>
          <w:tcPr>
            <w:tcW w:w="723" w:type="pct"/>
            <w:shd w:val="clear" w:color="auto" w:fill="auto"/>
            <w:noWrap/>
            <w:hideMark/>
          </w:tcPr>
          <w:p w14:paraId="3BC94B8D" w14:textId="028F0CFB" w:rsidR="00B815D7" w:rsidRPr="001E7776" w:rsidRDefault="00B815D7" w:rsidP="00B815D7">
            <w:pPr>
              <w:tabs>
                <w:tab w:val="clear" w:pos="284"/>
              </w:tabs>
              <w:spacing w:line="240" w:lineRule="auto"/>
              <w:rPr>
                <w:rFonts w:eastAsia="Times New Roman" w:cs="Arial"/>
                <w:kern w:val="0"/>
                <w:lang w:eastAsia="en-GB"/>
              </w:rPr>
            </w:pPr>
            <w:r w:rsidRPr="0021318C">
              <w:t>39</w:t>
            </w:r>
          </w:p>
        </w:tc>
        <w:tc>
          <w:tcPr>
            <w:tcW w:w="721" w:type="pct"/>
            <w:shd w:val="clear" w:color="auto" w:fill="auto"/>
            <w:noWrap/>
            <w:hideMark/>
          </w:tcPr>
          <w:p w14:paraId="3464386A" w14:textId="062364F4" w:rsidR="00B815D7" w:rsidRPr="001E7776" w:rsidRDefault="00B815D7" w:rsidP="00B815D7">
            <w:pPr>
              <w:tabs>
                <w:tab w:val="clear" w:pos="284"/>
              </w:tabs>
              <w:spacing w:line="240" w:lineRule="auto"/>
              <w:rPr>
                <w:rFonts w:eastAsia="Times New Roman" w:cs="Arial"/>
                <w:kern w:val="0"/>
                <w:lang w:eastAsia="en-GB"/>
              </w:rPr>
            </w:pPr>
            <w:r w:rsidRPr="0021318C">
              <w:t>25</w:t>
            </w:r>
          </w:p>
        </w:tc>
        <w:tc>
          <w:tcPr>
            <w:tcW w:w="721" w:type="pct"/>
            <w:shd w:val="clear" w:color="auto" w:fill="auto"/>
            <w:noWrap/>
            <w:hideMark/>
          </w:tcPr>
          <w:p w14:paraId="03D50C55" w14:textId="5995B51D" w:rsidR="00B815D7" w:rsidRPr="001E7776" w:rsidRDefault="00B815D7" w:rsidP="00B815D7">
            <w:pPr>
              <w:tabs>
                <w:tab w:val="clear" w:pos="284"/>
              </w:tabs>
              <w:spacing w:line="240" w:lineRule="auto"/>
              <w:rPr>
                <w:rFonts w:eastAsia="Times New Roman" w:cs="Arial"/>
                <w:kern w:val="0"/>
                <w:lang w:eastAsia="en-GB"/>
              </w:rPr>
            </w:pPr>
            <w:r w:rsidRPr="0021318C">
              <w:t>43</w:t>
            </w:r>
          </w:p>
        </w:tc>
        <w:tc>
          <w:tcPr>
            <w:tcW w:w="722" w:type="pct"/>
            <w:shd w:val="clear" w:color="auto" w:fill="auto"/>
            <w:noWrap/>
            <w:hideMark/>
          </w:tcPr>
          <w:p w14:paraId="1F46D9D8" w14:textId="684B4084" w:rsidR="00B815D7" w:rsidRPr="001E7776" w:rsidRDefault="00B815D7" w:rsidP="00B815D7">
            <w:pPr>
              <w:tabs>
                <w:tab w:val="clear" w:pos="284"/>
              </w:tabs>
              <w:spacing w:line="240" w:lineRule="auto"/>
              <w:rPr>
                <w:rFonts w:eastAsia="Times New Roman" w:cs="Arial"/>
                <w:kern w:val="0"/>
                <w:lang w:eastAsia="en-GB"/>
              </w:rPr>
            </w:pPr>
            <w:r w:rsidRPr="0021318C">
              <w:t>108</w:t>
            </w:r>
          </w:p>
        </w:tc>
      </w:tr>
      <w:tr w:rsidR="00B815D7" w:rsidRPr="001E7776" w14:paraId="463BAD7C" w14:textId="77777777" w:rsidTr="001E7776">
        <w:trPr>
          <w:trHeight w:val="288"/>
        </w:trPr>
        <w:tc>
          <w:tcPr>
            <w:tcW w:w="671" w:type="pct"/>
            <w:shd w:val="clear" w:color="auto" w:fill="auto"/>
            <w:noWrap/>
            <w:hideMark/>
          </w:tcPr>
          <w:p w14:paraId="71B1A3A4"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5+ bedrooms</w:t>
            </w:r>
          </w:p>
        </w:tc>
        <w:tc>
          <w:tcPr>
            <w:tcW w:w="721" w:type="pct"/>
            <w:shd w:val="clear" w:color="auto" w:fill="auto"/>
            <w:noWrap/>
            <w:hideMark/>
          </w:tcPr>
          <w:p w14:paraId="46DFB5F3" w14:textId="025776DB" w:rsidR="00B815D7" w:rsidRPr="001E7776" w:rsidRDefault="00B815D7" w:rsidP="00B815D7">
            <w:pPr>
              <w:tabs>
                <w:tab w:val="clear" w:pos="284"/>
              </w:tabs>
              <w:spacing w:line="240" w:lineRule="auto"/>
              <w:rPr>
                <w:rFonts w:eastAsia="Times New Roman" w:cs="Arial"/>
                <w:kern w:val="0"/>
                <w:lang w:eastAsia="en-GB"/>
              </w:rPr>
            </w:pPr>
            <w:r w:rsidRPr="0021318C">
              <w:t>0</w:t>
            </w:r>
          </w:p>
        </w:tc>
        <w:tc>
          <w:tcPr>
            <w:tcW w:w="721" w:type="pct"/>
            <w:shd w:val="clear" w:color="auto" w:fill="auto"/>
            <w:noWrap/>
            <w:hideMark/>
          </w:tcPr>
          <w:p w14:paraId="0F54105C" w14:textId="31B16454" w:rsidR="00B815D7" w:rsidRPr="001E7776" w:rsidRDefault="00B815D7" w:rsidP="00B815D7">
            <w:pPr>
              <w:tabs>
                <w:tab w:val="clear" w:pos="284"/>
              </w:tabs>
              <w:spacing w:line="240" w:lineRule="auto"/>
              <w:rPr>
                <w:rFonts w:eastAsia="Times New Roman" w:cs="Arial"/>
                <w:kern w:val="0"/>
                <w:lang w:eastAsia="en-GB"/>
              </w:rPr>
            </w:pPr>
            <w:r w:rsidRPr="0021318C">
              <w:t>0</w:t>
            </w:r>
          </w:p>
        </w:tc>
        <w:tc>
          <w:tcPr>
            <w:tcW w:w="723" w:type="pct"/>
            <w:shd w:val="clear" w:color="auto" w:fill="auto"/>
            <w:noWrap/>
            <w:hideMark/>
          </w:tcPr>
          <w:p w14:paraId="27044E2C" w14:textId="51026981" w:rsidR="00B815D7" w:rsidRPr="001E7776" w:rsidRDefault="00B815D7" w:rsidP="00B815D7">
            <w:pPr>
              <w:tabs>
                <w:tab w:val="clear" w:pos="284"/>
              </w:tabs>
              <w:spacing w:line="240" w:lineRule="auto"/>
              <w:rPr>
                <w:rFonts w:eastAsia="Times New Roman" w:cs="Arial"/>
                <w:kern w:val="0"/>
                <w:lang w:eastAsia="en-GB"/>
              </w:rPr>
            </w:pPr>
            <w:r w:rsidRPr="0021318C">
              <w:t>13</w:t>
            </w:r>
          </w:p>
        </w:tc>
        <w:tc>
          <w:tcPr>
            <w:tcW w:w="721" w:type="pct"/>
            <w:shd w:val="clear" w:color="auto" w:fill="auto"/>
            <w:noWrap/>
            <w:hideMark/>
          </w:tcPr>
          <w:p w14:paraId="6B37C307" w14:textId="79B94828" w:rsidR="00B815D7" w:rsidRPr="001E7776" w:rsidRDefault="00B815D7" w:rsidP="00B815D7">
            <w:pPr>
              <w:tabs>
                <w:tab w:val="clear" w:pos="284"/>
              </w:tabs>
              <w:spacing w:line="240" w:lineRule="auto"/>
              <w:rPr>
                <w:rFonts w:eastAsia="Times New Roman" w:cs="Arial"/>
                <w:kern w:val="0"/>
                <w:lang w:eastAsia="en-GB"/>
              </w:rPr>
            </w:pPr>
            <w:r w:rsidRPr="0021318C">
              <w:t>7</w:t>
            </w:r>
          </w:p>
        </w:tc>
        <w:tc>
          <w:tcPr>
            <w:tcW w:w="721" w:type="pct"/>
            <w:shd w:val="clear" w:color="auto" w:fill="auto"/>
            <w:noWrap/>
            <w:hideMark/>
          </w:tcPr>
          <w:p w14:paraId="5541C39A" w14:textId="5872FFE3" w:rsidR="00B815D7" w:rsidRPr="001E7776" w:rsidRDefault="00B815D7" w:rsidP="00B815D7">
            <w:pPr>
              <w:tabs>
                <w:tab w:val="clear" w:pos="284"/>
              </w:tabs>
              <w:spacing w:line="240" w:lineRule="auto"/>
              <w:rPr>
                <w:rFonts w:eastAsia="Times New Roman" w:cs="Arial"/>
                <w:kern w:val="0"/>
                <w:lang w:eastAsia="en-GB"/>
              </w:rPr>
            </w:pPr>
            <w:r w:rsidRPr="0021318C">
              <w:t>12</w:t>
            </w:r>
          </w:p>
        </w:tc>
        <w:tc>
          <w:tcPr>
            <w:tcW w:w="722" w:type="pct"/>
            <w:shd w:val="clear" w:color="auto" w:fill="auto"/>
            <w:noWrap/>
            <w:hideMark/>
          </w:tcPr>
          <w:p w14:paraId="56F9BFB0" w14:textId="0A0ABA3A" w:rsidR="00B815D7" w:rsidRPr="001E7776" w:rsidRDefault="00B815D7" w:rsidP="00B815D7">
            <w:pPr>
              <w:tabs>
                <w:tab w:val="clear" w:pos="284"/>
              </w:tabs>
              <w:spacing w:line="240" w:lineRule="auto"/>
              <w:rPr>
                <w:rFonts w:eastAsia="Times New Roman" w:cs="Arial"/>
                <w:kern w:val="0"/>
                <w:lang w:eastAsia="en-GB"/>
              </w:rPr>
            </w:pPr>
            <w:r w:rsidRPr="0021318C">
              <w:t>32</w:t>
            </w:r>
          </w:p>
        </w:tc>
      </w:tr>
    </w:tbl>
    <w:p w14:paraId="7A7B531F" w14:textId="77777777" w:rsidR="001E7776" w:rsidRPr="001E7776" w:rsidRDefault="001E7776" w:rsidP="006E5E1E">
      <w:pPr>
        <w:pStyle w:val="Source"/>
      </w:pPr>
      <w:r w:rsidRPr="001E7776">
        <w:t>Source: Census 2011, AECOM Calculations</w:t>
      </w:r>
    </w:p>
    <w:p w14:paraId="6830CDBC" w14:textId="7DDAFE85" w:rsidR="001E7776" w:rsidRDefault="001E7776" w:rsidP="00D56987">
      <w:pPr>
        <w:pStyle w:val="ListNumber"/>
        <w:jc w:val="both"/>
      </w:pPr>
      <w:r w:rsidRPr="00242CF3">
        <w:t xml:space="preserve">It is now possible to compare the housing mix in terms of size in 2011 against the projected requirement based on the ideal size distribution in </w:t>
      </w:r>
      <w:r w:rsidR="00A61EB3" w:rsidRPr="00242CF3">
        <w:t>Copdock and Washbrook</w:t>
      </w:r>
      <w:r w:rsidRPr="00242CF3">
        <w:t xml:space="preserve"> set out above. </w:t>
      </w:r>
      <w:r w:rsidRPr="00242CF3">
        <w:fldChar w:fldCharType="begin"/>
      </w:r>
      <w:r w:rsidRPr="00242CF3">
        <w:instrText xml:space="preserve"> REF _Ref526087121 \h  \* MERGEFORMAT </w:instrText>
      </w:r>
      <w:r w:rsidRPr="00242CF3">
        <w:fldChar w:fldCharType="separate"/>
      </w:r>
      <w:r w:rsidR="004F6699" w:rsidRPr="004F6699">
        <w:t xml:space="preserve">Table </w:t>
      </w:r>
      <w:r w:rsidR="004F6699" w:rsidRPr="004F6699">
        <w:rPr>
          <w:noProof/>
        </w:rPr>
        <w:t>5</w:t>
      </w:r>
      <w:r w:rsidR="004F6699" w:rsidRPr="004F6699">
        <w:rPr>
          <w:noProof/>
        </w:rPr>
        <w:noBreakHyphen/>
        <w:t>13</w:t>
      </w:r>
      <w:r w:rsidRPr="00242CF3">
        <w:fldChar w:fldCharType="end"/>
      </w:r>
      <w:r w:rsidRPr="00242CF3">
        <w:t xml:space="preserve"> below indicates that, by </w:t>
      </w:r>
      <w:r w:rsidR="00B815D7" w:rsidRPr="00242CF3">
        <w:t>2036</w:t>
      </w:r>
      <w:r w:rsidRPr="00242CF3">
        <w:t xml:space="preserve">, the distribution of dwellings should be weighted more towards the small to medium part of the size spectrum, with a particular focus on dwellings of </w:t>
      </w:r>
      <w:r w:rsidR="00BC6ADA">
        <w:t>2</w:t>
      </w:r>
      <w:r w:rsidRPr="00242CF3">
        <w:t xml:space="preserve"> </w:t>
      </w:r>
      <w:r w:rsidR="00BC6ADA">
        <w:t>and</w:t>
      </w:r>
      <w:r w:rsidRPr="00242CF3">
        <w:t xml:space="preserve"> </w:t>
      </w:r>
      <w:r w:rsidR="00BC6ADA">
        <w:t>3</w:t>
      </w:r>
      <w:r w:rsidRPr="00242CF3">
        <w:t xml:space="preserve"> bedrooms</w:t>
      </w:r>
      <w:r w:rsidR="00BC6ADA">
        <w:t xml:space="preserve"> (alongside a reasonable proportion of 4 bedroom dwellings).</w:t>
      </w:r>
    </w:p>
    <w:p w14:paraId="29DC4D6D" w14:textId="14096D9D" w:rsidR="00BC6ADA" w:rsidRPr="00242CF3" w:rsidRDefault="00BC6ADA" w:rsidP="00D56987">
      <w:pPr>
        <w:pStyle w:val="ListNumber"/>
        <w:jc w:val="both"/>
      </w:pPr>
      <w:r>
        <w:t>This conclusion is very much in line with the findings of the SHMA reviewed previously for Babergh as a whole, which also concluded that in future, two- and three-bedroom dwellings would be most in demand.</w:t>
      </w:r>
    </w:p>
    <w:p w14:paraId="3351A0B4" w14:textId="431FE3DA" w:rsidR="001E7776" w:rsidRPr="001E7776" w:rsidRDefault="001E7776" w:rsidP="001E7776">
      <w:pPr>
        <w:keepNext/>
        <w:spacing w:after="120"/>
        <w:ind w:left="426"/>
        <w:rPr>
          <w:rFonts w:asciiTheme="majorHAnsi" w:hAnsiTheme="majorHAnsi"/>
          <w:b/>
          <w:bCs/>
          <w:color w:val="00B5E2" w:themeColor="accent1"/>
          <w:sz w:val="20"/>
        </w:rPr>
      </w:pPr>
      <w:bookmarkStart w:id="126" w:name="_Ref526087121"/>
      <w:r w:rsidRPr="001E7776">
        <w:rPr>
          <w:rFonts w:asciiTheme="majorHAnsi" w:hAnsiTheme="majorHAnsi"/>
          <w:b/>
          <w:bCs/>
          <w:color w:val="00B5E2" w:themeColor="accent1"/>
          <w:sz w:val="20"/>
        </w:rPr>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13</w:t>
      </w:r>
      <w:r w:rsidRPr="001E7776">
        <w:rPr>
          <w:rFonts w:asciiTheme="majorHAnsi" w:hAnsiTheme="majorHAnsi"/>
          <w:b/>
          <w:bCs/>
          <w:noProof/>
          <w:color w:val="00B5E2" w:themeColor="accent1"/>
          <w:sz w:val="20"/>
        </w:rPr>
        <w:fldChar w:fldCharType="end"/>
      </w:r>
      <w:bookmarkEnd w:id="126"/>
      <w:r w:rsidRPr="001E7776">
        <w:rPr>
          <w:rFonts w:asciiTheme="majorHAnsi" w:hAnsiTheme="majorHAnsi"/>
          <w:b/>
          <w:bCs/>
          <w:color w:val="00B5E2" w:themeColor="accent1"/>
          <w:sz w:val="20"/>
        </w:rPr>
        <w:t xml:space="preserve">: Size distribution in 2011 compared to ideal distribution in </w:t>
      </w:r>
      <w:r w:rsidR="00B815D7">
        <w:rPr>
          <w:rFonts w:asciiTheme="majorHAnsi" w:hAnsiTheme="majorHAnsi"/>
          <w:b/>
          <w:bCs/>
          <w:color w:val="00B5E2" w:themeColor="accent1"/>
          <w:sz w:val="20"/>
        </w:rPr>
        <w:t>2036</w:t>
      </w:r>
      <w:r w:rsidRPr="001E7776">
        <w:rPr>
          <w:rFonts w:asciiTheme="majorHAnsi" w:hAnsiTheme="majorHAnsi"/>
          <w:b/>
          <w:bCs/>
          <w:color w:val="00B5E2" w:themeColor="accent1"/>
          <w:sz w:val="20"/>
        </w:rPr>
        <w:t xml:space="preserve"> (</w:t>
      </w:r>
      <w:r w:rsidR="00A61EB3">
        <w:rPr>
          <w:rFonts w:asciiTheme="majorHAnsi" w:hAnsiTheme="majorHAnsi"/>
          <w:b/>
          <w:bCs/>
          <w:color w:val="00B5E2" w:themeColor="accent1"/>
          <w:sz w:val="20"/>
        </w:rPr>
        <w:t>Copdock and Washbrook</w:t>
      </w:r>
      <w:r w:rsidRPr="001E7776">
        <w:rPr>
          <w:rFonts w:asciiTheme="majorHAnsi" w:hAnsiTheme="majorHAnsi"/>
          <w:b/>
          <w:bCs/>
          <w:color w:val="00B5E2" w:themeColor="accent1"/>
          <w:sz w:val="20"/>
        </w:rPr>
        <w:t>)</w:t>
      </w:r>
    </w:p>
    <w:tbl>
      <w:tblPr>
        <w:tblW w:w="473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1553"/>
        <w:gridCol w:w="1555"/>
        <w:gridCol w:w="1553"/>
        <w:gridCol w:w="1555"/>
      </w:tblGrid>
      <w:tr w:rsidR="00B84D34" w:rsidRPr="001E7776" w14:paraId="275D1495" w14:textId="77777777" w:rsidTr="00613643">
        <w:trPr>
          <w:trHeight w:val="288"/>
        </w:trPr>
        <w:tc>
          <w:tcPr>
            <w:tcW w:w="1734" w:type="pct"/>
            <w:shd w:val="clear" w:color="auto" w:fill="000000"/>
            <w:noWrap/>
            <w:vAlign w:val="center"/>
            <w:hideMark/>
          </w:tcPr>
          <w:p w14:paraId="5D8EF972" w14:textId="77777777" w:rsidR="00B84D34" w:rsidRPr="001E7776" w:rsidRDefault="00B84D34" w:rsidP="00B84D34">
            <w:pPr>
              <w:tabs>
                <w:tab w:val="clear" w:pos="284"/>
              </w:tabs>
              <w:spacing w:line="240" w:lineRule="auto"/>
              <w:jc w:val="center"/>
              <w:rPr>
                <w:rFonts w:eastAsia="Times New Roman" w:cs="Arial"/>
                <w:b/>
                <w:kern w:val="0"/>
                <w:lang w:eastAsia="en-GB"/>
              </w:rPr>
            </w:pPr>
            <w:r w:rsidRPr="001E7776">
              <w:rPr>
                <w:rFonts w:eastAsia="Times New Roman" w:cs="Arial"/>
                <w:b/>
                <w:kern w:val="0"/>
                <w:lang w:eastAsia="en-GB"/>
              </w:rPr>
              <w:t>Number of bedrooms</w:t>
            </w:r>
          </w:p>
        </w:tc>
        <w:tc>
          <w:tcPr>
            <w:tcW w:w="1633" w:type="pct"/>
            <w:gridSpan w:val="2"/>
            <w:shd w:val="clear" w:color="auto" w:fill="000000"/>
            <w:noWrap/>
            <w:hideMark/>
          </w:tcPr>
          <w:p w14:paraId="5104855F" w14:textId="074FB66A" w:rsidR="00B84D34" w:rsidRPr="001E7776" w:rsidRDefault="00B84D34" w:rsidP="00B84D34">
            <w:pPr>
              <w:tabs>
                <w:tab w:val="clear" w:pos="284"/>
              </w:tabs>
              <w:spacing w:line="240" w:lineRule="auto"/>
              <w:jc w:val="center"/>
              <w:rPr>
                <w:rFonts w:eastAsia="Times New Roman" w:cs="Arial"/>
                <w:b/>
                <w:kern w:val="0"/>
                <w:lang w:eastAsia="en-GB"/>
              </w:rPr>
            </w:pPr>
            <w:r w:rsidRPr="00C65069">
              <w:t>2011</w:t>
            </w:r>
          </w:p>
        </w:tc>
        <w:tc>
          <w:tcPr>
            <w:tcW w:w="1633" w:type="pct"/>
            <w:gridSpan w:val="2"/>
            <w:shd w:val="clear" w:color="auto" w:fill="000000"/>
            <w:noWrap/>
            <w:hideMark/>
          </w:tcPr>
          <w:p w14:paraId="357D6A20" w14:textId="3A2F6350" w:rsidR="00B84D34" w:rsidRPr="001E7776" w:rsidRDefault="00B815D7" w:rsidP="00B84D34">
            <w:pPr>
              <w:tabs>
                <w:tab w:val="clear" w:pos="284"/>
              </w:tabs>
              <w:spacing w:line="240" w:lineRule="auto"/>
              <w:jc w:val="center"/>
              <w:rPr>
                <w:rFonts w:eastAsia="Times New Roman" w:cs="Arial"/>
                <w:b/>
                <w:kern w:val="0"/>
                <w:lang w:eastAsia="en-GB"/>
              </w:rPr>
            </w:pPr>
            <w:r>
              <w:rPr>
                <w:rFonts w:eastAsia="Times New Roman" w:cs="Arial"/>
                <w:b/>
                <w:kern w:val="0"/>
                <w:lang w:eastAsia="en-GB"/>
              </w:rPr>
              <w:t>2036</w:t>
            </w:r>
          </w:p>
        </w:tc>
      </w:tr>
      <w:tr w:rsidR="00B815D7" w:rsidRPr="001E7776" w14:paraId="60626BF1" w14:textId="77777777" w:rsidTr="001E7776">
        <w:trPr>
          <w:trHeight w:val="288"/>
        </w:trPr>
        <w:tc>
          <w:tcPr>
            <w:tcW w:w="1734" w:type="pct"/>
            <w:shd w:val="clear" w:color="auto" w:fill="auto"/>
            <w:noWrap/>
            <w:vAlign w:val="center"/>
            <w:hideMark/>
          </w:tcPr>
          <w:p w14:paraId="38EB727E"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1 bedroom</w:t>
            </w:r>
          </w:p>
        </w:tc>
        <w:tc>
          <w:tcPr>
            <w:tcW w:w="816" w:type="pct"/>
            <w:shd w:val="clear" w:color="auto" w:fill="auto"/>
            <w:noWrap/>
            <w:hideMark/>
          </w:tcPr>
          <w:p w14:paraId="3B9427DC" w14:textId="50870419" w:rsidR="00B815D7" w:rsidRPr="001E7776" w:rsidRDefault="00B815D7" w:rsidP="00B815D7">
            <w:pPr>
              <w:tabs>
                <w:tab w:val="clear" w:pos="284"/>
              </w:tabs>
              <w:spacing w:line="240" w:lineRule="auto"/>
              <w:rPr>
                <w:rFonts w:eastAsia="Times New Roman" w:cs="Arial"/>
                <w:kern w:val="0"/>
                <w:lang w:eastAsia="en-GB"/>
              </w:rPr>
            </w:pPr>
            <w:r w:rsidRPr="001B6EF2">
              <w:t>17</w:t>
            </w:r>
          </w:p>
        </w:tc>
        <w:tc>
          <w:tcPr>
            <w:tcW w:w="817" w:type="pct"/>
            <w:shd w:val="clear" w:color="auto" w:fill="auto"/>
            <w:noWrap/>
            <w:hideMark/>
          </w:tcPr>
          <w:p w14:paraId="3DCA05D4" w14:textId="4D3BAEB2" w:rsidR="00B815D7" w:rsidRPr="001E7776" w:rsidRDefault="00B815D7" w:rsidP="00B815D7">
            <w:pPr>
              <w:tabs>
                <w:tab w:val="clear" w:pos="284"/>
              </w:tabs>
              <w:spacing w:line="240" w:lineRule="auto"/>
              <w:rPr>
                <w:rFonts w:eastAsia="Times New Roman" w:cs="Arial"/>
                <w:kern w:val="0"/>
                <w:lang w:eastAsia="en-GB"/>
              </w:rPr>
            </w:pPr>
            <w:r w:rsidRPr="001B6EF2">
              <w:t>3.8%</w:t>
            </w:r>
          </w:p>
        </w:tc>
        <w:tc>
          <w:tcPr>
            <w:tcW w:w="816" w:type="pct"/>
            <w:shd w:val="clear" w:color="auto" w:fill="auto"/>
            <w:noWrap/>
            <w:hideMark/>
          </w:tcPr>
          <w:p w14:paraId="0A4E66DE" w14:textId="5C806939" w:rsidR="00B815D7" w:rsidRPr="001E7776" w:rsidRDefault="00B815D7" w:rsidP="00B815D7">
            <w:pPr>
              <w:tabs>
                <w:tab w:val="clear" w:pos="284"/>
              </w:tabs>
              <w:spacing w:line="240" w:lineRule="auto"/>
              <w:rPr>
                <w:rFonts w:eastAsia="Times New Roman" w:cs="Arial"/>
                <w:kern w:val="0"/>
                <w:lang w:eastAsia="en-GB"/>
              </w:rPr>
            </w:pPr>
            <w:r w:rsidRPr="001B6EF2">
              <w:t>34</w:t>
            </w:r>
          </w:p>
        </w:tc>
        <w:tc>
          <w:tcPr>
            <w:tcW w:w="817" w:type="pct"/>
            <w:shd w:val="clear" w:color="auto" w:fill="auto"/>
            <w:noWrap/>
            <w:hideMark/>
          </w:tcPr>
          <w:p w14:paraId="7CCD05BF" w14:textId="658C40B8" w:rsidR="00B815D7" w:rsidRPr="001E7776" w:rsidRDefault="00B815D7" w:rsidP="00B815D7">
            <w:pPr>
              <w:tabs>
                <w:tab w:val="clear" w:pos="284"/>
              </w:tabs>
              <w:spacing w:line="240" w:lineRule="auto"/>
              <w:rPr>
                <w:rFonts w:eastAsia="Times New Roman" w:cs="Arial"/>
                <w:kern w:val="0"/>
                <w:lang w:eastAsia="en-GB"/>
              </w:rPr>
            </w:pPr>
            <w:r w:rsidRPr="001B6EF2">
              <w:t>6.3%</w:t>
            </w:r>
          </w:p>
        </w:tc>
      </w:tr>
      <w:tr w:rsidR="00B815D7" w:rsidRPr="001E7776" w14:paraId="4B03DA36" w14:textId="77777777" w:rsidTr="001E7776">
        <w:trPr>
          <w:trHeight w:val="288"/>
        </w:trPr>
        <w:tc>
          <w:tcPr>
            <w:tcW w:w="1734" w:type="pct"/>
            <w:shd w:val="clear" w:color="auto" w:fill="auto"/>
            <w:noWrap/>
            <w:vAlign w:val="center"/>
            <w:hideMark/>
          </w:tcPr>
          <w:p w14:paraId="3AD3EA9F"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2 bedrooms</w:t>
            </w:r>
          </w:p>
        </w:tc>
        <w:tc>
          <w:tcPr>
            <w:tcW w:w="816" w:type="pct"/>
            <w:shd w:val="clear" w:color="auto" w:fill="auto"/>
            <w:noWrap/>
            <w:hideMark/>
          </w:tcPr>
          <w:p w14:paraId="6EDCA914" w14:textId="7F5F05B1" w:rsidR="00B815D7" w:rsidRPr="001E7776" w:rsidRDefault="00B815D7" w:rsidP="00B815D7">
            <w:pPr>
              <w:tabs>
                <w:tab w:val="clear" w:pos="284"/>
              </w:tabs>
              <w:spacing w:line="240" w:lineRule="auto"/>
              <w:rPr>
                <w:rFonts w:eastAsia="Times New Roman" w:cs="Arial"/>
                <w:kern w:val="0"/>
                <w:lang w:eastAsia="en-GB"/>
              </w:rPr>
            </w:pPr>
            <w:r w:rsidRPr="001B6EF2">
              <w:t>126</w:t>
            </w:r>
          </w:p>
        </w:tc>
        <w:tc>
          <w:tcPr>
            <w:tcW w:w="817" w:type="pct"/>
            <w:shd w:val="clear" w:color="auto" w:fill="auto"/>
            <w:noWrap/>
            <w:hideMark/>
          </w:tcPr>
          <w:p w14:paraId="224F63DF" w14:textId="37F11587" w:rsidR="00B815D7" w:rsidRPr="001E7776" w:rsidRDefault="00B815D7" w:rsidP="00B815D7">
            <w:pPr>
              <w:tabs>
                <w:tab w:val="clear" w:pos="284"/>
              </w:tabs>
              <w:spacing w:line="240" w:lineRule="auto"/>
              <w:rPr>
                <w:rFonts w:eastAsia="Times New Roman" w:cs="Arial"/>
                <w:kern w:val="0"/>
                <w:lang w:eastAsia="en-GB"/>
              </w:rPr>
            </w:pPr>
            <w:r w:rsidRPr="001B6EF2">
              <w:t>27.9%</w:t>
            </w:r>
          </w:p>
        </w:tc>
        <w:tc>
          <w:tcPr>
            <w:tcW w:w="816" w:type="pct"/>
            <w:shd w:val="clear" w:color="auto" w:fill="auto"/>
            <w:noWrap/>
            <w:hideMark/>
          </w:tcPr>
          <w:p w14:paraId="5AB72260" w14:textId="7151C3A7" w:rsidR="00B815D7" w:rsidRPr="001E7776" w:rsidRDefault="00B815D7" w:rsidP="00B815D7">
            <w:pPr>
              <w:tabs>
                <w:tab w:val="clear" w:pos="284"/>
              </w:tabs>
              <w:spacing w:line="240" w:lineRule="auto"/>
              <w:rPr>
                <w:rFonts w:eastAsia="Times New Roman" w:cs="Arial"/>
                <w:kern w:val="0"/>
                <w:lang w:eastAsia="en-GB"/>
              </w:rPr>
            </w:pPr>
            <w:r w:rsidRPr="001B6EF2">
              <w:t>139</w:t>
            </w:r>
          </w:p>
        </w:tc>
        <w:tc>
          <w:tcPr>
            <w:tcW w:w="817" w:type="pct"/>
            <w:shd w:val="clear" w:color="auto" w:fill="auto"/>
            <w:noWrap/>
            <w:hideMark/>
          </w:tcPr>
          <w:p w14:paraId="3EAE97D7" w14:textId="6E289B7C" w:rsidR="00B815D7" w:rsidRPr="001E7776" w:rsidRDefault="00B815D7" w:rsidP="00B815D7">
            <w:pPr>
              <w:tabs>
                <w:tab w:val="clear" w:pos="284"/>
              </w:tabs>
              <w:spacing w:line="240" w:lineRule="auto"/>
              <w:rPr>
                <w:rFonts w:eastAsia="Times New Roman" w:cs="Arial"/>
                <w:kern w:val="0"/>
                <w:lang w:eastAsia="en-GB"/>
              </w:rPr>
            </w:pPr>
            <w:r w:rsidRPr="001B6EF2">
              <w:t>25.7%</w:t>
            </w:r>
          </w:p>
        </w:tc>
      </w:tr>
      <w:tr w:rsidR="00B815D7" w:rsidRPr="001E7776" w14:paraId="60C2DF5B" w14:textId="77777777" w:rsidTr="001E7776">
        <w:trPr>
          <w:trHeight w:val="288"/>
        </w:trPr>
        <w:tc>
          <w:tcPr>
            <w:tcW w:w="1734" w:type="pct"/>
            <w:shd w:val="clear" w:color="auto" w:fill="auto"/>
            <w:noWrap/>
            <w:vAlign w:val="center"/>
            <w:hideMark/>
          </w:tcPr>
          <w:p w14:paraId="6DD731EA"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3 bedrooms</w:t>
            </w:r>
          </w:p>
        </w:tc>
        <w:tc>
          <w:tcPr>
            <w:tcW w:w="816" w:type="pct"/>
            <w:shd w:val="clear" w:color="auto" w:fill="auto"/>
            <w:noWrap/>
            <w:hideMark/>
          </w:tcPr>
          <w:p w14:paraId="73A2D837" w14:textId="3E7D90EF" w:rsidR="00B815D7" w:rsidRPr="001E7776" w:rsidRDefault="00B815D7" w:rsidP="00B815D7">
            <w:pPr>
              <w:tabs>
                <w:tab w:val="clear" w:pos="284"/>
              </w:tabs>
              <w:spacing w:line="240" w:lineRule="auto"/>
              <w:rPr>
                <w:rFonts w:eastAsia="Times New Roman" w:cs="Arial"/>
                <w:kern w:val="0"/>
                <w:lang w:eastAsia="en-GB"/>
              </w:rPr>
            </w:pPr>
            <w:r w:rsidRPr="001B6EF2">
              <w:t>179</w:t>
            </w:r>
          </w:p>
        </w:tc>
        <w:tc>
          <w:tcPr>
            <w:tcW w:w="817" w:type="pct"/>
            <w:shd w:val="clear" w:color="auto" w:fill="auto"/>
            <w:noWrap/>
            <w:hideMark/>
          </w:tcPr>
          <w:p w14:paraId="494D99B6" w14:textId="65ABE352" w:rsidR="00B815D7" w:rsidRPr="001E7776" w:rsidRDefault="00B815D7" w:rsidP="00B815D7">
            <w:pPr>
              <w:tabs>
                <w:tab w:val="clear" w:pos="284"/>
              </w:tabs>
              <w:spacing w:line="240" w:lineRule="auto"/>
              <w:rPr>
                <w:rFonts w:eastAsia="Times New Roman" w:cs="Arial"/>
                <w:kern w:val="0"/>
                <w:lang w:eastAsia="en-GB"/>
              </w:rPr>
            </w:pPr>
            <w:r w:rsidRPr="001B6EF2">
              <w:t>39.6%</w:t>
            </w:r>
          </w:p>
        </w:tc>
        <w:tc>
          <w:tcPr>
            <w:tcW w:w="816" w:type="pct"/>
            <w:shd w:val="clear" w:color="auto" w:fill="auto"/>
            <w:noWrap/>
            <w:hideMark/>
          </w:tcPr>
          <w:p w14:paraId="410EABF7" w14:textId="48B10561" w:rsidR="00B815D7" w:rsidRPr="001E7776" w:rsidRDefault="00B815D7" w:rsidP="00B815D7">
            <w:pPr>
              <w:tabs>
                <w:tab w:val="clear" w:pos="284"/>
              </w:tabs>
              <w:spacing w:line="240" w:lineRule="auto"/>
              <w:rPr>
                <w:rFonts w:eastAsia="Times New Roman" w:cs="Arial"/>
                <w:kern w:val="0"/>
                <w:lang w:eastAsia="en-GB"/>
              </w:rPr>
            </w:pPr>
            <w:r w:rsidRPr="001B6EF2">
              <w:t>227</w:t>
            </w:r>
          </w:p>
        </w:tc>
        <w:tc>
          <w:tcPr>
            <w:tcW w:w="817" w:type="pct"/>
            <w:shd w:val="clear" w:color="auto" w:fill="auto"/>
            <w:noWrap/>
            <w:hideMark/>
          </w:tcPr>
          <w:p w14:paraId="6AE7FC31" w14:textId="05CF9902" w:rsidR="00B815D7" w:rsidRPr="001E7776" w:rsidRDefault="00B815D7" w:rsidP="00B815D7">
            <w:pPr>
              <w:tabs>
                <w:tab w:val="clear" w:pos="284"/>
              </w:tabs>
              <w:spacing w:line="240" w:lineRule="auto"/>
              <w:rPr>
                <w:rFonts w:eastAsia="Times New Roman" w:cs="Arial"/>
                <w:kern w:val="0"/>
                <w:lang w:eastAsia="en-GB"/>
              </w:rPr>
            </w:pPr>
            <w:r w:rsidRPr="001B6EF2">
              <w:t>42.0%</w:t>
            </w:r>
          </w:p>
        </w:tc>
      </w:tr>
      <w:tr w:rsidR="00B815D7" w:rsidRPr="001E7776" w14:paraId="3200D5AD" w14:textId="77777777" w:rsidTr="001E7776">
        <w:trPr>
          <w:trHeight w:val="288"/>
        </w:trPr>
        <w:tc>
          <w:tcPr>
            <w:tcW w:w="1734" w:type="pct"/>
            <w:shd w:val="clear" w:color="auto" w:fill="auto"/>
            <w:noWrap/>
            <w:vAlign w:val="center"/>
            <w:hideMark/>
          </w:tcPr>
          <w:p w14:paraId="2EFF9421"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4 bedrooms</w:t>
            </w:r>
          </w:p>
        </w:tc>
        <w:tc>
          <w:tcPr>
            <w:tcW w:w="816" w:type="pct"/>
            <w:shd w:val="clear" w:color="auto" w:fill="auto"/>
            <w:noWrap/>
            <w:hideMark/>
          </w:tcPr>
          <w:p w14:paraId="1DE28950" w14:textId="56858BCA" w:rsidR="00B815D7" w:rsidRPr="001E7776" w:rsidRDefault="00B815D7" w:rsidP="00B815D7">
            <w:pPr>
              <w:tabs>
                <w:tab w:val="clear" w:pos="284"/>
              </w:tabs>
              <w:spacing w:line="240" w:lineRule="auto"/>
              <w:rPr>
                <w:rFonts w:eastAsia="Times New Roman" w:cs="Arial"/>
                <w:kern w:val="0"/>
                <w:lang w:eastAsia="en-GB"/>
              </w:rPr>
            </w:pPr>
            <w:r w:rsidRPr="001B6EF2">
              <w:t>93</w:t>
            </w:r>
          </w:p>
        </w:tc>
        <w:tc>
          <w:tcPr>
            <w:tcW w:w="817" w:type="pct"/>
            <w:shd w:val="clear" w:color="auto" w:fill="auto"/>
            <w:noWrap/>
            <w:hideMark/>
          </w:tcPr>
          <w:p w14:paraId="16BA74F1" w14:textId="1AB34F50" w:rsidR="00B815D7" w:rsidRPr="001E7776" w:rsidRDefault="00B815D7" w:rsidP="00B815D7">
            <w:pPr>
              <w:tabs>
                <w:tab w:val="clear" w:pos="284"/>
              </w:tabs>
              <w:spacing w:line="240" w:lineRule="auto"/>
              <w:rPr>
                <w:rFonts w:eastAsia="Times New Roman" w:cs="Arial"/>
                <w:kern w:val="0"/>
                <w:lang w:eastAsia="en-GB"/>
              </w:rPr>
            </w:pPr>
            <w:r w:rsidRPr="001B6EF2">
              <w:t>20.6%</w:t>
            </w:r>
          </w:p>
        </w:tc>
        <w:tc>
          <w:tcPr>
            <w:tcW w:w="816" w:type="pct"/>
            <w:shd w:val="clear" w:color="auto" w:fill="auto"/>
            <w:noWrap/>
            <w:hideMark/>
          </w:tcPr>
          <w:p w14:paraId="0A2501D8" w14:textId="6A88866F" w:rsidR="00B815D7" w:rsidRPr="001E7776" w:rsidRDefault="00B815D7" w:rsidP="00B815D7">
            <w:pPr>
              <w:tabs>
                <w:tab w:val="clear" w:pos="284"/>
              </w:tabs>
              <w:spacing w:line="240" w:lineRule="auto"/>
              <w:rPr>
                <w:rFonts w:eastAsia="Times New Roman" w:cs="Arial"/>
                <w:kern w:val="0"/>
                <w:lang w:eastAsia="en-GB"/>
              </w:rPr>
            </w:pPr>
            <w:r w:rsidRPr="001B6EF2">
              <w:t>108</w:t>
            </w:r>
          </w:p>
        </w:tc>
        <w:tc>
          <w:tcPr>
            <w:tcW w:w="817" w:type="pct"/>
            <w:shd w:val="clear" w:color="auto" w:fill="auto"/>
            <w:noWrap/>
            <w:hideMark/>
          </w:tcPr>
          <w:p w14:paraId="48C4691A" w14:textId="43FC2921" w:rsidR="00B815D7" w:rsidRPr="001E7776" w:rsidRDefault="00B815D7" w:rsidP="00B815D7">
            <w:pPr>
              <w:tabs>
                <w:tab w:val="clear" w:pos="284"/>
              </w:tabs>
              <w:spacing w:line="240" w:lineRule="auto"/>
              <w:rPr>
                <w:rFonts w:eastAsia="Times New Roman" w:cs="Arial"/>
                <w:kern w:val="0"/>
                <w:lang w:eastAsia="en-GB"/>
              </w:rPr>
            </w:pPr>
            <w:r w:rsidRPr="001B6EF2">
              <w:t>20.1%</w:t>
            </w:r>
          </w:p>
        </w:tc>
      </w:tr>
      <w:tr w:rsidR="00B815D7" w:rsidRPr="001E7776" w14:paraId="4E3C8171" w14:textId="77777777" w:rsidTr="001E7776">
        <w:trPr>
          <w:trHeight w:val="288"/>
        </w:trPr>
        <w:tc>
          <w:tcPr>
            <w:tcW w:w="1734" w:type="pct"/>
            <w:shd w:val="clear" w:color="auto" w:fill="auto"/>
            <w:noWrap/>
            <w:vAlign w:val="center"/>
            <w:hideMark/>
          </w:tcPr>
          <w:p w14:paraId="65120F68"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5 or more bedrooms</w:t>
            </w:r>
          </w:p>
        </w:tc>
        <w:tc>
          <w:tcPr>
            <w:tcW w:w="816" w:type="pct"/>
            <w:shd w:val="clear" w:color="auto" w:fill="auto"/>
            <w:noWrap/>
            <w:hideMark/>
          </w:tcPr>
          <w:p w14:paraId="00E60684" w14:textId="38C132C6" w:rsidR="00B815D7" w:rsidRPr="001E7776" w:rsidRDefault="00B815D7" w:rsidP="00B815D7">
            <w:pPr>
              <w:tabs>
                <w:tab w:val="clear" w:pos="284"/>
              </w:tabs>
              <w:spacing w:line="240" w:lineRule="auto"/>
              <w:rPr>
                <w:rFonts w:eastAsia="Times New Roman" w:cs="Arial"/>
                <w:kern w:val="0"/>
                <w:lang w:eastAsia="en-GB"/>
              </w:rPr>
            </w:pPr>
            <w:r w:rsidRPr="001B6EF2">
              <w:t>37</w:t>
            </w:r>
          </w:p>
        </w:tc>
        <w:tc>
          <w:tcPr>
            <w:tcW w:w="817" w:type="pct"/>
            <w:shd w:val="clear" w:color="auto" w:fill="auto"/>
            <w:noWrap/>
            <w:hideMark/>
          </w:tcPr>
          <w:p w14:paraId="1394A17D" w14:textId="45C48EF7" w:rsidR="00B815D7" w:rsidRPr="001E7776" w:rsidRDefault="00B815D7" w:rsidP="00B815D7">
            <w:pPr>
              <w:tabs>
                <w:tab w:val="clear" w:pos="284"/>
              </w:tabs>
              <w:spacing w:line="240" w:lineRule="auto"/>
              <w:rPr>
                <w:rFonts w:eastAsia="Times New Roman" w:cs="Arial"/>
                <w:kern w:val="0"/>
                <w:lang w:eastAsia="en-GB"/>
              </w:rPr>
            </w:pPr>
            <w:r w:rsidRPr="001B6EF2">
              <w:t>8.2%</w:t>
            </w:r>
          </w:p>
        </w:tc>
        <w:tc>
          <w:tcPr>
            <w:tcW w:w="816" w:type="pct"/>
            <w:shd w:val="clear" w:color="auto" w:fill="auto"/>
            <w:noWrap/>
            <w:hideMark/>
          </w:tcPr>
          <w:p w14:paraId="48040058" w14:textId="3C1198DD" w:rsidR="00B815D7" w:rsidRPr="001E7776" w:rsidRDefault="00B815D7" w:rsidP="00B815D7">
            <w:pPr>
              <w:tabs>
                <w:tab w:val="clear" w:pos="284"/>
              </w:tabs>
              <w:spacing w:line="240" w:lineRule="auto"/>
              <w:rPr>
                <w:rFonts w:eastAsia="Times New Roman" w:cs="Arial"/>
                <w:kern w:val="0"/>
                <w:lang w:eastAsia="en-GB"/>
              </w:rPr>
            </w:pPr>
            <w:r w:rsidRPr="001B6EF2">
              <w:t>32</w:t>
            </w:r>
          </w:p>
        </w:tc>
        <w:tc>
          <w:tcPr>
            <w:tcW w:w="817" w:type="pct"/>
            <w:shd w:val="clear" w:color="auto" w:fill="auto"/>
            <w:noWrap/>
            <w:hideMark/>
          </w:tcPr>
          <w:p w14:paraId="5C8DFD55" w14:textId="5AE820F4" w:rsidR="00B815D7" w:rsidRPr="001E7776" w:rsidRDefault="00B815D7" w:rsidP="00B815D7">
            <w:pPr>
              <w:tabs>
                <w:tab w:val="clear" w:pos="284"/>
              </w:tabs>
              <w:spacing w:line="240" w:lineRule="auto"/>
              <w:rPr>
                <w:rFonts w:eastAsia="Times New Roman" w:cs="Arial"/>
                <w:kern w:val="0"/>
                <w:lang w:eastAsia="en-GB"/>
              </w:rPr>
            </w:pPr>
            <w:r w:rsidRPr="001B6EF2">
              <w:t>5.9%</w:t>
            </w:r>
          </w:p>
        </w:tc>
      </w:tr>
      <w:tr w:rsidR="00B815D7" w:rsidRPr="001E7776" w14:paraId="3F674134" w14:textId="77777777" w:rsidTr="001E7776">
        <w:trPr>
          <w:trHeight w:val="288"/>
        </w:trPr>
        <w:tc>
          <w:tcPr>
            <w:tcW w:w="1734" w:type="pct"/>
            <w:shd w:val="clear" w:color="auto" w:fill="auto"/>
            <w:noWrap/>
            <w:vAlign w:val="center"/>
            <w:hideMark/>
          </w:tcPr>
          <w:p w14:paraId="023EA48C"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Total households</w:t>
            </w:r>
          </w:p>
        </w:tc>
        <w:tc>
          <w:tcPr>
            <w:tcW w:w="816" w:type="pct"/>
            <w:shd w:val="clear" w:color="auto" w:fill="auto"/>
            <w:noWrap/>
            <w:hideMark/>
          </w:tcPr>
          <w:p w14:paraId="383B2FD4" w14:textId="73818D67" w:rsidR="00B815D7" w:rsidRPr="001E7776" w:rsidRDefault="00B815D7" w:rsidP="00B815D7">
            <w:pPr>
              <w:tabs>
                <w:tab w:val="clear" w:pos="284"/>
              </w:tabs>
              <w:spacing w:line="240" w:lineRule="auto"/>
              <w:rPr>
                <w:rFonts w:eastAsia="Times New Roman" w:cs="Arial"/>
                <w:kern w:val="0"/>
                <w:lang w:eastAsia="en-GB"/>
              </w:rPr>
            </w:pPr>
            <w:r w:rsidRPr="001B6EF2">
              <w:t>452</w:t>
            </w:r>
          </w:p>
        </w:tc>
        <w:tc>
          <w:tcPr>
            <w:tcW w:w="817" w:type="pct"/>
            <w:shd w:val="clear" w:color="auto" w:fill="auto"/>
            <w:noWrap/>
            <w:hideMark/>
          </w:tcPr>
          <w:p w14:paraId="51A6AEDC" w14:textId="336248ED" w:rsidR="00B815D7" w:rsidRPr="001E7776" w:rsidRDefault="00B815D7" w:rsidP="00B815D7">
            <w:pPr>
              <w:tabs>
                <w:tab w:val="clear" w:pos="284"/>
              </w:tabs>
              <w:spacing w:line="240" w:lineRule="auto"/>
              <w:rPr>
                <w:rFonts w:eastAsia="Times New Roman" w:cs="Arial"/>
                <w:kern w:val="0"/>
                <w:lang w:eastAsia="en-GB"/>
              </w:rPr>
            </w:pPr>
            <w:r w:rsidRPr="001B6EF2">
              <w:t>100.0%</w:t>
            </w:r>
          </w:p>
        </w:tc>
        <w:tc>
          <w:tcPr>
            <w:tcW w:w="816" w:type="pct"/>
            <w:shd w:val="clear" w:color="auto" w:fill="auto"/>
            <w:noWrap/>
            <w:hideMark/>
          </w:tcPr>
          <w:p w14:paraId="028F0C69" w14:textId="488FBD9C" w:rsidR="00B815D7" w:rsidRPr="001E7776" w:rsidRDefault="00B815D7" w:rsidP="00B815D7">
            <w:pPr>
              <w:tabs>
                <w:tab w:val="clear" w:pos="284"/>
              </w:tabs>
              <w:spacing w:line="240" w:lineRule="auto"/>
              <w:rPr>
                <w:rFonts w:eastAsia="Times New Roman" w:cs="Arial"/>
                <w:kern w:val="0"/>
                <w:lang w:eastAsia="en-GB"/>
              </w:rPr>
            </w:pPr>
            <w:r w:rsidRPr="001B6EF2">
              <w:t>540</w:t>
            </w:r>
          </w:p>
        </w:tc>
        <w:tc>
          <w:tcPr>
            <w:tcW w:w="817" w:type="pct"/>
            <w:shd w:val="clear" w:color="auto" w:fill="auto"/>
            <w:noWrap/>
            <w:hideMark/>
          </w:tcPr>
          <w:p w14:paraId="44DBCD7E" w14:textId="72E24368" w:rsidR="00B815D7" w:rsidRPr="001E7776" w:rsidRDefault="00B815D7" w:rsidP="00B815D7">
            <w:pPr>
              <w:tabs>
                <w:tab w:val="clear" w:pos="284"/>
              </w:tabs>
              <w:spacing w:line="240" w:lineRule="auto"/>
              <w:rPr>
                <w:rFonts w:eastAsia="Times New Roman" w:cs="Arial"/>
                <w:kern w:val="0"/>
                <w:lang w:eastAsia="en-GB"/>
              </w:rPr>
            </w:pPr>
            <w:r w:rsidRPr="001B6EF2">
              <w:t>100.0%</w:t>
            </w:r>
          </w:p>
        </w:tc>
      </w:tr>
    </w:tbl>
    <w:p w14:paraId="773D3DFB" w14:textId="77777777" w:rsidR="001E7776" w:rsidRPr="001E7776" w:rsidRDefault="001E7776" w:rsidP="006E5E1E">
      <w:pPr>
        <w:pStyle w:val="Source"/>
      </w:pPr>
      <w:r w:rsidRPr="001E7776">
        <w:t>Source: Census 2011, AECOM Calculations</w:t>
      </w:r>
    </w:p>
    <w:p w14:paraId="037FBB13" w14:textId="556325E8" w:rsidR="001E7776" w:rsidRPr="00242CF3" w:rsidRDefault="001E7776" w:rsidP="006E5E1E">
      <w:pPr>
        <w:pStyle w:val="ListNumber"/>
      </w:pPr>
      <w:r w:rsidRPr="00242CF3">
        <w:fldChar w:fldCharType="begin"/>
      </w:r>
      <w:r w:rsidRPr="00242CF3">
        <w:instrText xml:space="preserve"> REF _Ref526087252 \h </w:instrText>
      </w:r>
      <w:r w:rsidR="00B92180" w:rsidRPr="00242CF3">
        <w:instrText xml:space="preserve"> \* MERGEFORMAT </w:instrText>
      </w:r>
      <w:r w:rsidRPr="00242CF3">
        <w:fldChar w:fldCharType="separate"/>
      </w:r>
      <w:r w:rsidR="004F6699" w:rsidRPr="004F6699">
        <w:t xml:space="preserve">Table </w:t>
      </w:r>
      <w:r w:rsidR="004F6699" w:rsidRPr="004F6699">
        <w:rPr>
          <w:noProof/>
        </w:rPr>
        <w:t>5</w:t>
      </w:r>
      <w:r w:rsidR="004F6699" w:rsidRPr="004F6699">
        <w:rPr>
          <w:noProof/>
        </w:rPr>
        <w:noBreakHyphen/>
        <w:t>14</w:t>
      </w:r>
      <w:r w:rsidRPr="00242CF3">
        <w:fldChar w:fldCharType="end"/>
      </w:r>
      <w:r w:rsidRPr="00242CF3">
        <w:t xml:space="preserve"> below shows misalignment between demand for housing, based on the preferences expressed by households at different life-stages, and the current stock available in the NA. This</w:t>
      </w:r>
      <w:r w:rsidR="00242CF3" w:rsidRPr="00242CF3">
        <w:t xml:space="preserve"> misalignment</w:t>
      </w:r>
      <w:r w:rsidRPr="00242CF3">
        <w:t xml:space="preserve"> is particularly evident for </w:t>
      </w:r>
      <w:r w:rsidR="00242CF3" w:rsidRPr="00242CF3">
        <w:t>3 bedroom homes</w:t>
      </w:r>
      <w:r w:rsidR="00BC6ADA">
        <w:t>.</w:t>
      </w:r>
    </w:p>
    <w:p w14:paraId="5638892A" w14:textId="0EF3352C" w:rsidR="001E7776" w:rsidRPr="001E7776" w:rsidRDefault="001E7776" w:rsidP="001E7776">
      <w:pPr>
        <w:keepNext/>
        <w:spacing w:after="120"/>
        <w:ind w:left="426"/>
        <w:rPr>
          <w:rFonts w:asciiTheme="majorHAnsi" w:hAnsiTheme="majorHAnsi"/>
          <w:b/>
          <w:bCs/>
          <w:color w:val="00B5E2" w:themeColor="accent1"/>
          <w:sz w:val="20"/>
        </w:rPr>
      </w:pPr>
      <w:bookmarkStart w:id="127" w:name="_Ref526087252"/>
      <w:r w:rsidRPr="001E7776">
        <w:rPr>
          <w:rFonts w:asciiTheme="majorHAnsi" w:hAnsiTheme="majorHAnsi"/>
          <w:b/>
          <w:bCs/>
          <w:color w:val="00B5E2" w:themeColor="accent1"/>
          <w:sz w:val="20"/>
        </w:rPr>
        <w:lastRenderedPageBreak/>
        <w:t xml:space="preserve">Table </w:t>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STYLEREF 1 \s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5</w:t>
      </w:r>
      <w:r w:rsidRPr="001E7776">
        <w:rPr>
          <w:rFonts w:asciiTheme="majorHAnsi" w:hAnsiTheme="majorHAnsi"/>
          <w:b/>
          <w:bCs/>
          <w:noProof/>
          <w:color w:val="00B5E2" w:themeColor="accent1"/>
          <w:sz w:val="20"/>
        </w:rPr>
        <w:fldChar w:fldCharType="end"/>
      </w:r>
      <w:r w:rsidRPr="001E7776">
        <w:rPr>
          <w:rFonts w:asciiTheme="majorHAnsi" w:hAnsiTheme="majorHAnsi"/>
          <w:b/>
          <w:bCs/>
          <w:color w:val="00B5E2" w:themeColor="accent1"/>
          <w:sz w:val="20"/>
        </w:rPr>
        <w:noBreakHyphen/>
      </w:r>
      <w:r w:rsidRPr="001E7776">
        <w:rPr>
          <w:rFonts w:asciiTheme="majorHAnsi" w:hAnsiTheme="majorHAnsi"/>
          <w:b/>
          <w:bCs/>
          <w:noProof/>
          <w:color w:val="00B5E2" w:themeColor="accent1"/>
          <w:sz w:val="20"/>
        </w:rPr>
        <w:fldChar w:fldCharType="begin"/>
      </w:r>
      <w:r w:rsidRPr="001E7776">
        <w:rPr>
          <w:rFonts w:asciiTheme="majorHAnsi" w:hAnsiTheme="majorHAnsi"/>
          <w:b/>
          <w:bCs/>
          <w:noProof/>
          <w:color w:val="00B5E2" w:themeColor="accent1"/>
          <w:sz w:val="20"/>
        </w:rPr>
        <w:instrText xml:space="preserve"> SEQ Table \* ARABIC \s 1 </w:instrText>
      </w:r>
      <w:r w:rsidRPr="001E7776">
        <w:rPr>
          <w:rFonts w:asciiTheme="majorHAnsi" w:hAnsiTheme="majorHAnsi"/>
          <w:b/>
          <w:bCs/>
          <w:noProof/>
          <w:color w:val="00B5E2" w:themeColor="accent1"/>
          <w:sz w:val="20"/>
        </w:rPr>
        <w:fldChar w:fldCharType="separate"/>
      </w:r>
      <w:r w:rsidR="004F6699">
        <w:rPr>
          <w:rFonts w:asciiTheme="majorHAnsi" w:hAnsiTheme="majorHAnsi"/>
          <w:b/>
          <w:bCs/>
          <w:noProof/>
          <w:color w:val="00B5E2" w:themeColor="accent1"/>
          <w:sz w:val="20"/>
        </w:rPr>
        <w:t>14</w:t>
      </w:r>
      <w:r w:rsidRPr="001E7776">
        <w:rPr>
          <w:rFonts w:asciiTheme="majorHAnsi" w:hAnsiTheme="majorHAnsi"/>
          <w:b/>
          <w:bCs/>
          <w:noProof/>
          <w:color w:val="00B5E2" w:themeColor="accent1"/>
          <w:sz w:val="20"/>
        </w:rPr>
        <w:fldChar w:fldCharType="end"/>
      </w:r>
      <w:bookmarkEnd w:id="127"/>
      <w:r w:rsidRPr="001E7776">
        <w:rPr>
          <w:rFonts w:asciiTheme="majorHAnsi" w:hAnsiTheme="majorHAnsi"/>
          <w:b/>
          <w:bCs/>
          <w:color w:val="00B5E2" w:themeColor="accent1"/>
          <w:sz w:val="20"/>
        </w:rPr>
        <w:t>: Misalignments of supply and demand for housing</w:t>
      </w:r>
    </w:p>
    <w:tbl>
      <w:tblPr>
        <w:tblW w:w="473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810"/>
        <w:gridCol w:w="1351"/>
        <w:gridCol w:w="2340"/>
        <w:gridCol w:w="1951"/>
      </w:tblGrid>
      <w:tr w:rsidR="001E7776" w:rsidRPr="001E7776" w14:paraId="57E50123" w14:textId="77777777" w:rsidTr="001E7776">
        <w:trPr>
          <w:trHeight w:val="288"/>
        </w:trPr>
        <w:tc>
          <w:tcPr>
            <w:tcW w:w="1095" w:type="pct"/>
            <w:shd w:val="clear" w:color="auto" w:fill="000000"/>
            <w:noWrap/>
            <w:vAlign w:val="center"/>
          </w:tcPr>
          <w:p w14:paraId="51F2F21D" w14:textId="77777777" w:rsidR="001E7776" w:rsidRPr="001E7776" w:rsidRDefault="001E7776" w:rsidP="001E7776">
            <w:pPr>
              <w:tabs>
                <w:tab w:val="clear" w:pos="284"/>
              </w:tabs>
              <w:spacing w:line="240" w:lineRule="auto"/>
              <w:rPr>
                <w:rFonts w:eastAsia="Times New Roman" w:cs="Arial"/>
                <w:b/>
                <w:kern w:val="0"/>
                <w:lang w:eastAsia="en-GB"/>
              </w:rPr>
            </w:pPr>
            <w:r w:rsidRPr="001E7776">
              <w:rPr>
                <w:rFonts w:eastAsia="Times New Roman" w:cs="Arial"/>
                <w:b/>
                <w:kern w:val="0"/>
                <w:lang w:eastAsia="en-GB"/>
              </w:rPr>
              <w:t>Number of bedrooms</w:t>
            </w:r>
          </w:p>
        </w:tc>
        <w:tc>
          <w:tcPr>
            <w:tcW w:w="962" w:type="pct"/>
            <w:shd w:val="clear" w:color="auto" w:fill="000000"/>
            <w:noWrap/>
            <w:vAlign w:val="center"/>
          </w:tcPr>
          <w:p w14:paraId="703F24EA" w14:textId="77777777" w:rsidR="001E7776" w:rsidRPr="001E7776" w:rsidRDefault="001E7776" w:rsidP="001E7776">
            <w:pPr>
              <w:tabs>
                <w:tab w:val="clear" w:pos="284"/>
              </w:tabs>
              <w:spacing w:line="240" w:lineRule="auto"/>
              <w:rPr>
                <w:rFonts w:eastAsia="Times New Roman" w:cs="Arial"/>
                <w:b/>
                <w:kern w:val="0"/>
                <w:lang w:eastAsia="en-GB"/>
              </w:rPr>
            </w:pPr>
            <w:r w:rsidRPr="001E7776">
              <w:rPr>
                <w:rFonts w:eastAsia="Times New Roman" w:cs="Arial"/>
                <w:b/>
                <w:kern w:val="0"/>
                <w:lang w:eastAsia="en-GB"/>
              </w:rPr>
              <w:t>2011</w:t>
            </w:r>
          </w:p>
        </w:tc>
        <w:tc>
          <w:tcPr>
            <w:tcW w:w="721" w:type="pct"/>
            <w:shd w:val="clear" w:color="auto" w:fill="000000"/>
            <w:noWrap/>
            <w:vAlign w:val="center"/>
          </w:tcPr>
          <w:p w14:paraId="417811CE" w14:textId="2D1693A4" w:rsidR="001E7776" w:rsidRPr="001E7776" w:rsidRDefault="00B815D7" w:rsidP="001E7776">
            <w:pPr>
              <w:tabs>
                <w:tab w:val="clear" w:pos="284"/>
              </w:tabs>
              <w:spacing w:line="240" w:lineRule="auto"/>
              <w:rPr>
                <w:rFonts w:eastAsia="Times New Roman" w:cs="Arial"/>
                <w:b/>
                <w:kern w:val="0"/>
                <w:lang w:eastAsia="en-GB"/>
              </w:rPr>
            </w:pPr>
            <w:r>
              <w:rPr>
                <w:rFonts w:eastAsia="Times New Roman" w:cs="Arial"/>
                <w:b/>
                <w:kern w:val="0"/>
                <w:lang w:eastAsia="en-GB"/>
              </w:rPr>
              <w:t>2036</w:t>
            </w:r>
          </w:p>
        </w:tc>
        <w:tc>
          <w:tcPr>
            <w:tcW w:w="1186" w:type="pct"/>
            <w:shd w:val="clear" w:color="auto" w:fill="000000"/>
            <w:noWrap/>
            <w:vAlign w:val="center"/>
          </w:tcPr>
          <w:p w14:paraId="364FDBC9" w14:textId="1D5F25C5" w:rsidR="001E7776" w:rsidRPr="001E7776" w:rsidRDefault="001E7776" w:rsidP="001E7776">
            <w:pPr>
              <w:tabs>
                <w:tab w:val="clear" w:pos="284"/>
              </w:tabs>
              <w:spacing w:line="240" w:lineRule="auto"/>
              <w:rPr>
                <w:rFonts w:eastAsia="Times New Roman" w:cs="Arial"/>
                <w:b/>
                <w:kern w:val="0"/>
                <w:lang w:eastAsia="en-GB"/>
              </w:rPr>
            </w:pPr>
            <w:r w:rsidRPr="001E7776">
              <w:rPr>
                <w:rFonts w:eastAsia="Times New Roman" w:cs="Arial"/>
                <w:b/>
                <w:kern w:val="0"/>
                <w:lang w:eastAsia="en-GB"/>
              </w:rPr>
              <w:t>Change to housing mix</w:t>
            </w:r>
            <w:r w:rsidR="00523E4B">
              <w:rPr>
                <w:rStyle w:val="FootnoteReference"/>
                <w:rFonts w:eastAsia="Times New Roman" w:cs="Arial"/>
                <w:b/>
                <w:kern w:val="0"/>
                <w:lang w:eastAsia="en-GB"/>
              </w:rPr>
              <w:footnoteReference w:id="20"/>
            </w:r>
          </w:p>
        </w:tc>
        <w:tc>
          <w:tcPr>
            <w:tcW w:w="1036" w:type="pct"/>
            <w:shd w:val="clear" w:color="auto" w:fill="000000"/>
            <w:noWrap/>
            <w:vAlign w:val="center"/>
          </w:tcPr>
          <w:p w14:paraId="30AF8097" w14:textId="77777777" w:rsidR="001E7776" w:rsidRPr="001E7776" w:rsidRDefault="001E7776" w:rsidP="001E7776">
            <w:pPr>
              <w:tabs>
                <w:tab w:val="clear" w:pos="284"/>
              </w:tabs>
              <w:spacing w:line="240" w:lineRule="auto"/>
              <w:rPr>
                <w:rFonts w:eastAsia="Times New Roman" w:cs="Arial"/>
                <w:b/>
                <w:kern w:val="0"/>
                <w:lang w:eastAsia="en-GB"/>
              </w:rPr>
            </w:pPr>
            <w:r w:rsidRPr="001E7776">
              <w:rPr>
                <w:rFonts w:eastAsia="Times New Roman" w:cs="Arial"/>
                <w:b/>
                <w:kern w:val="0"/>
                <w:lang w:eastAsia="en-GB"/>
              </w:rPr>
              <w:t>Recommended split</w:t>
            </w:r>
          </w:p>
        </w:tc>
      </w:tr>
      <w:tr w:rsidR="00B815D7" w:rsidRPr="001E7776" w14:paraId="18DF84B2" w14:textId="77777777" w:rsidTr="001E7776">
        <w:trPr>
          <w:trHeight w:val="288"/>
        </w:trPr>
        <w:tc>
          <w:tcPr>
            <w:tcW w:w="1095" w:type="pct"/>
            <w:shd w:val="clear" w:color="auto" w:fill="auto"/>
            <w:noWrap/>
            <w:hideMark/>
          </w:tcPr>
          <w:p w14:paraId="07698538"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1 bedroom</w:t>
            </w:r>
          </w:p>
        </w:tc>
        <w:tc>
          <w:tcPr>
            <w:tcW w:w="962" w:type="pct"/>
            <w:shd w:val="clear" w:color="auto" w:fill="auto"/>
            <w:noWrap/>
            <w:hideMark/>
          </w:tcPr>
          <w:p w14:paraId="76285F3A" w14:textId="6DBFCA49" w:rsidR="00B815D7" w:rsidRPr="001E7776" w:rsidRDefault="00B815D7" w:rsidP="00B815D7">
            <w:pPr>
              <w:tabs>
                <w:tab w:val="clear" w:pos="284"/>
              </w:tabs>
              <w:spacing w:line="240" w:lineRule="auto"/>
              <w:rPr>
                <w:rFonts w:eastAsia="Times New Roman" w:cs="Arial"/>
                <w:kern w:val="0"/>
                <w:lang w:eastAsia="en-GB"/>
              </w:rPr>
            </w:pPr>
            <w:r w:rsidRPr="00216E69">
              <w:t>17</w:t>
            </w:r>
          </w:p>
        </w:tc>
        <w:tc>
          <w:tcPr>
            <w:tcW w:w="721" w:type="pct"/>
            <w:shd w:val="clear" w:color="auto" w:fill="auto"/>
            <w:noWrap/>
            <w:hideMark/>
          </w:tcPr>
          <w:p w14:paraId="05DA2285" w14:textId="75E8465A" w:rsidR="00B815D7" w:rsidRPr="001E7776" w:rsidRDefault="00B815D7" w:rsidP="00B815D7">
            <w:pPr>
              <w:tabs>
                <w:tab w:val="clear" w:pos="284"/>
              </w:tabs>
              <w:spacing w:line="240" w:lineRule="auto"/>
              <w:rPr>
                <w:rFonts w:eastAsia="Times New Roman" w:cs="Arial"/>
                <w:kern w:val="0"/>
                <w:lang w:eastAsia="en-GB"/>
              </w:rPr>
            </w:pPr>
            <w:r w:rsidRPr="00216E69">
              <w:t>34</w:t>
            </w:r>
          </w:p>
        </w:tc>
        <w:tc>
          <w:tcPr>
            <w:tcW w:w="1186" w:type="pct"/>
            <w:shd w:val="clear" w:color="auto" w:fill="auto"/>
            <w:noWrap/>
            <w:hideMark/>
          </w:tcPr>
          <w:p w14:paraId="1C6AF1E7" w14:textId="2C73FD98" w:rsidR="00B815D7" w:rsidRPr="001E7776" w:rsidRDefault="00B815D7" w:rsidP="00B815D7">
            <w:pPr>
              <w:tabs>
                <w:tab w:val="clear" w:pos="284"/>
              </w:tabs>
              <w:spacing w:line="240" w:lineRule="auto"/>
              <w:rPr>
                <w:rFonts w:eastAsia="Times New Roman" w:cs="Arial"/>
                <w:kern w:val="0"/>
                <w:lang w:eastAsia="en-GB"/>
              </w:rPr>
            </w:pPr>
            <w:r w:rsidRPr="00216E69">
              <w:t>17</w:t>
            </w:r>
          </w:p>
        </w:tc>
        <w:tc>
          <w:tcPr>
            <w:tcW w:w="1036" w:type="pct"/>
            <w:shd w:val="clear" w:color="auto" w:fill="auto"/>
            <w:noWrap/>
            <w:hideMark/>
          </w:tcPr>
          <w:p w14:paraId="4DCEFD7D" w14:textId="0B85015A" w:rsidR="00B815D7" w:rsidRPr="001E7776" w:rsidRDefault="00B815D7" w:rsidP="00B815D7">
            <w:pPr>
              <w:tabs>
                <w:tab w:val="clear" w:pos="284"/>
              </w:tabs>
              <w:spacing w:line="240" w:lineRule="auto"/>
              <w:rPr>
                <w:rFonts w:eastAsia="Times New Roman" w:cs="Arial"/>
                <w:b/>
                <w:kern w:val="0"/>
                <w:lang w:eastAsia="en-GB"/>
              </w:rPr>
            </w:pPr>
            <w:r w:rsidRPr="00216E69">
              <w:t>18.5%</w:t>
            </w:r>
          </w:p>
        </w:tc>
      </w:tr>
      <w:tr w:rsidR="00B815D7" w:rsidRPr="001E7776" w14:paraId="2072E9C8" w14:textId="77777777" w:rsidTr="001E7776">
        <w:trPr>
          <w:trHeight w:val="288"/>
        </w:trPr>
        <w:tc>
          <w:tcPr>
            <w:tcW w:w="1095" w:type="pct"/>
            <w:shd w:val="clear" w:color="auto" w:fill="auto"/>
            <w:noWrap/>
            <w:hideMark/>
          </w:tcPr>
          <w:p w14:paraId="51F263CD"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2 bedrooms</w:t>
            </w:r>
          </w:p>
        </w:tc>
        <w:tc>
          <w:tcPr>
            <w:tcW w:w="962" w:type="pct"/>
            <w:shd w:val="clear" w:color="auto" w:fill="auto"/>
            <w:noWrap/>
            <w:hideMark/>
          </w:tcPr>
          <w:p w14:paraId="5AEB7FB8" w14:textId="51C22F97" w:rsidR="00B815D7" w:rsidRPr="001E7776" w:rsidRDefault="00B815D7" w:rsidP="00B815D7">
            <w:pPr>
              <w:tabs>
                <w:tab w:val="clear" w:pos="284"/>
              </w:tabs>
              <w:spacing w:line="240" w:lineRule="auto"/>
              <w:rPr>
                <w:rFonts w:eastAsia="Times New Roman" w:cs="Arial"/>
                <w:kern w:val="0"/>
                <w:lang w:eastAsia="en-GB"/>
              </w:rPr>
            </w:pPr>
            <w:r w:rsidRPr="00216E69">
              <w:t>126</w:t>
            </w:r>
          </w:p>
        </w:tc>
        <w:tc>
          <w:tcPr>
            <w:tcW w:w="721" w:type="pct"/>
            <w:shd w:val="clear" w:color="auto" w:fill="auto"/>
            <w:noWrap/>
            <w:hideMark/>
          </w:tcPr>
          <w:p w14:paraId="178FA44A" w14:textId="58C4092F" w:rsidR="00B815D7" w:rsidRPr="001E7776" w:rsidRDefault="00B815D7" w:rsidP="00B815D7">
            <w:pPr>
              <w:tabs>
                <w:tab w:val="clear" w:pos="284"/>
              </w:tabs>
              <w:spacing w:line="240" w:lineRule="auto"/>
              <w:rPr>
                <w:rFonts w:eastAsia="Times New Roman" w:cs="Arial"/>
                <w:kern w:val="0"/>
                <w:lang w:eastAsia="en-GB"/>
              </w:rPr>
            </w:pPr>
            <w:r w:rsidRPr="00216E69">
              <w:t>139</w:t>
            </w:r>
          </w:p>
        </w:tc>
        <w:tc>
          <w:tcPr>
            <w:tcW w:w="1186" w:type="pct"/>
            <w:shd w:val="clear" w:color="auto" w:fill="auto"/>
            <w:noWrap/>
            <w:hideMark/>
          </w:tcPr>
          <w:p w14:paraId="7C9E7AAE" w14:textId="07BDD419" w:rsidR="00B815D7" w:rsidRPr="001E7776" w:rsidRDefault="00B815D7" w:rsidP="00B815D7">
            <w:pPr>
              <w:tabs>
                <w:tab w:val="clear" w:pos="284"/>
              </w:tabs>
              <w:spacing w:line="240" w:lineRule="auto"/>
              <w:rPr>
                <w:rFonts w:eastAsia="Times New Roman" w:cs="Arial"/>
                <w:kern w:val="0"/>
                <w:lang w:eastAsia="en-GB"/>
              </w:rPr>
            </w:pPr>
            <w:r w:rsidRPr="00216E69">
              <w:t>13</w:t>
            </w:r>
          </w:p>
        </w:tc>
        <w:tc>
          <w:tcPr>
            <w:tcW w:w="1036" w:type="pct"/>
            <w:shd w:val="clear" w:color="auto" w:fill="auto"/>
            <w:noWrap/>
            <w:hideMark/>
          </w:tcPr>
          <w:p w14:paraId="66D55035" w14:textId="48578972" w:rsidR="00B815D7" w:rsidRPr="001E7776" w:rsidRDefault="00B815D7" w:rsidP="00B815D7">
            <w:pPr>
              <w:tabs>
                <w:tab w:val="clear" w:pos="284"/>
              </w:tabs>
              <w:spacing w:line="240" w:lineRule="auto"/>
              <w:rPr>
                <w:rFonts w:eastAsia="Times New Roman" w:cs="Arial"/>
                <w:b/>
                <w:kern w:val="0"/>
                <w:lang w:eastAsia="en-GB"/>
              </w:rPr>
            </w:pPr>
            <w:r w:rsidRPr="00216E69">
              <w:t>13.5%</w:t>
            </w:r>
          </w:p>
        </w:tc>
      </w:tr>
      <w:tr w:rsidR="00B815D7" w:rsidRPr="001E7776" w14:paraId="49FEA5D4" w14:textId="77777777" w:rsidTr="001E7776">
        <w:trPr>
          <w:trHeight w:val="288"/>
        </w:trPr>
        <w:tc>
          <w:tcPr>
            <w:tcW w:w="1095" w:type="pct"/>
            <w:shd w:val="clear" w:color="auto" w:fill="auto"/>
            <w:noWrap/>
            <w:hideMark/>
          </w:tcPr>
          <w:p w14:paraId="737F600A"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3 bedrooms</w:t>
            </w:r>
          </w:p>
        </w:tc>
        <w:tc>
          <w:tcPr>
            <w:tcW w:w="962" w:type="pct"/>
            <w:shd w:val="clear" w:color="auto" w:fill="auto"/>
            <w:noWrap/>
            <w:hideMark/>
          </w:tcPr>
          <w:p w14:paraId="78945D49" w14:textId="0BA32407" w:rsidR="00B815D7" w:rsidRPr="001E7776" w:rsidRDefault="00B815D7" w:rsidP="00B815D7">
            <w:pPr>
              <w:tabs>
                <w:tab w:val="clear" w:pos="284"/>
              </w:tabs>
              <w:spacing w:line="240" w:lineRule="auto"/>
              <w:rPr>
                <w:rFonts w:eastAsia="Times New Roman" w:cs="Arial"/>
                <w:kern w:val="0"/>
                <w:lang w:eastAsia="en-GB"/>
              </w:rPr>
            </w:pPr>
            <w:r w:rsidRPr="00216E69">
              <w:t>179</w:t>
            </w:r>
          </w:p>
        </w:tc>
        <w:tc>
          <w:tcPr>
            <w:tcW w:w="721" w:type="pct"/>
            <w:shd w:val="clear" w:color="auto" w:fill="auto"/>
            <w:noWrap/>
            <w:hideMark/>
          </w:tcPr>
          <w:p w14:paraId="6ECBAAE2" w14:textId="6C0380CB" w:rsidR="00B815D7" w:rsidRPr="001E7776" w:rsidRDefault="00B815D7" w:rsidP="00B815D7">
            <w:pPr>
              <w:tabs>
                <w:tab w:val="clear" w:pos="284"/>
              </w:tabs>
              <w:spacing w:line="240" w:lineRule="auto"/>
              <w:rPr>
                <w:rFonts w:eastAsia="Times New Roman" w:cs="Arial"/>
                <w:kern w:val="0"/>
                <w:lang w:eastAsia="en-GB"/>
              </w:rPr>
            </w:pPr>
            <w:r w:rsidRPr="00216E69">
              <w:t>227</w:t>
            </w:r>
          </w:p>
        </w:tc>
        <w:tc>
          <w:tcPr>
            <w:tcW w:w="1186" w:type="pct"/>
            <w:shd w:val="clear" w:color="auto" w:fill="auto"/>
            <w:noWrap/>
            <w:hideMark/>
          </w:tcPr>
          <w:p w14:paraId="16679990" w14:textId="4EF36837" w:rsidR="00B815D7" w:rsidRPr="001E7776" w:rsidRDefault="00B815D7" w:rsidP="00B815D7">
            <w:pPr>
              <w:tabs>
                <w:tab w:val="clear" w:pos="284"/>
              </w:tabs>
              <w:spacing w:line="240" w:lineRule="auto"/>
              <w:rPr>
                <w:rFonts w:eastAsia="Times New Roman" w:cs="Arial"/>
                <w:kern w:val="0"/>
                <w:lang w:eastAsia="en-GB"/>
              </w:rPr>
            </w:pPr>
            <w:r w:rsidRPr="00216E69">
              <w:t>48</w:t>
            </w:r>
          </w:p>
        </w:tc>
        <w:tc>
          <w:tcPr>
            <w:tcW w:w="1036" w:type="pct"/>
            <w:shd w:val="clear" w:color="auto" w:fill="auto"/>
            <w:noWrap/>
            <w:hideMark/>
          </w:tcPr>
          <w:p w14:paraId="1F7AEDB9" w14:textId="5CDF248E" w:rsidR="00B815D7" w:rsidRPr="001E7776" w:rsidRDefault="00B815D7" w:rsidP="00B815D7">
            <w:pPr>
              <w:tabs>
                <w:tab w:val="clear" w:pos="284"/>
              </w:tabs>
              <w:spacing w:line="240" w:lineRule="auto"/>
              <w:rPr>
                <w:rFonts w:eastAsia="Times New Roman" w:cs="Arial"/>
                <w:b/>
                <w:kern w:val="0"/>
                <w:lang w:eastAsia="en-GB"/>
              </w:rPr>
            </w:pPr>
            <w:r w:rsidRPr="00216E69">
              <w:t>51.5%</w:t>
            </w:r>
          </w:p>
        </w:tc>
      </w:tr>
      <w:tr w:rsidR="00B815D7" w:rsidRPr="001E7776" w14:paraId="5BFD4899" w14:textId="77777777" w:rsidTr="001E7776">
        <w:trPr>
          <w:trHeight w:val="288"/>
        </w:trPr>
        <w:tc>
          <w:tcPr>
            <w:tcW w:w="1095" w:type="pct"/>
            <w:shd w:val="clear" w:color="auto" w:fill="auto"/>
            <w:noWrap/>
            <w:hideMark/>
          </w:tcPr>
          <w:p w14:paraId="492C84C4"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4 bedrooms</w:t>
            </w:r>
          </w:p>
        </w:tc>
        <w:tc>
          <w:tcPr>
            <w:tcW w:w="962" w:type="pct"/>
            <w:shd w:val="clear" w:color="auto" w:fill="auto"/>
            <w:noWrap/>
            <w:hideMark/>
          </w:tcPr>
          <w:p w14:paraId="4BEE295F" w14:textId="0C3BE7C1" w:rsidR="00B815D7" w:rsidRPr="001E7776" w:rsidRDefault="00B815D7" w:rsidP="00B815D7">
            <w:pPr>
              <w:tabs>
                <w:tab w:val="clear" w:pos="284"/>
              </w:tabs>
              <w:spacing w:line="240" w:lineRule="auto"/>
              <w:rPr>
                <w:rFonts w:eastAsia="Times New Roman" w:cs="Arial"/>
                <w:kern w:val="0"/>
                <w:lang w:eastAsia="en-GB"/>
              </w:rPr>
            </w:pPr>
            <w:r w:rsidRPr="00216E69">
              <w:t>93</w:t>
            </w:r>
          </w:p>
        </w:tc>
        <w:tc>
          <w:tcPr>
            <w:tcW w:w="721" w:type="pct"/>
            <w:shd w:val="clear" w:color="auto" w:fill="auto"/>
            <w:noWrap/>
            <w:hideMark/>
          </w:tcPr>
          <w:p w14:paraId="0AB5F702" w14:textId="57AB6F48" w:rsidR="00B815D7" w:rsidRPr="001E7776" w:rsidRDefault="00B815D7" w:rsidP="00B815D7">
            <w:pPr>
              <w:tabs>
                <w:tab w:val="clear" w:pos="284"/>
              </w:tabs>
              <w:spacing w:line="240" w:lineRule="auto"/>
              <w:rPr>
                <w:rFonts w:eastAsia="Times New Roman" w:cs="Arial"/>
                <w:kern w:val="0"/>
                <w:lang w:eastAsia="en-GB"/>
              </w:rPr>
            </w:pPr>
            <w:r w:rsidRPr="00216E69">
              <w:t>108</w:t>
            </w:r>
          </w:p>
        </w:tc>
        <w:tc>
          <w:tcPr>
            <w:tcW w:w="1186" w:type="pct"/>
            <w:shd w:val="clear" w:color="auto" w:fill="auto"/>
            <w:noWrap/>
            <w:hideMark/>
          </w:tcPr>
          <w:p w14:paraId="01D1C4DF" w14:textId="2CD8E2B0" w:rsidR="00B815D7" w:rsidRPr="001E7776" w:rsidRDefault="00B815D7" w:rsidP="00B815D7">
            <w:pPr>
              <w:tabs>
                <w:tab w:val="clear" w:pos="284"/>
              </w:tabs>
              <w:spacing w:line="240" w:lineRule="auto"/>
              <w:rPr>
                <w:rFonts w:eastAsia="Times New Roman" w:cs="Arial"/>
                <w:kern w:val="0"/>
                <w:lang w:eastAsia="en-GB"/>
              </w:rPr>
            </w:pPr>
            <w:r w:rsidRPr="00216E69">
              <w:t>15</w:t>
            </w:r>
          </w:p>
        </w:tc>
        <w:tc>
          <w:tcPr>
            <w:tcW w:w="1036" w:type="pct"/>
            <w:shd w:val="clear" w:color="auto" w:fill="auto"/>
            <w:noWrap/>
            <w:hideMark/>
          </w:tcPr>
          <w:p w14:paraId="677A5AE1" w14:textId="3DE70C42" w:rsidR="00B815D7" w:rsidRPr="001E7776" w:rsidRDefault="00B815D7" w:rsidP="00B815D7">
            <w:pPr>
              <w:tabs>
                <w:tab w:val="clear" w:pos="284"/>
              </w:tabs>
              <w:spacing w:line="240" w:lineRule="auto"/>
              <w:rPr>
                <w:rFonts w:eastAsia="Times New Roman" w:cs="Arial"/>
                <w:b/>
                <w:kern w:val="0"/>
                <w:lang w:eastAsia="en-GB"/>
              </w:rPr>
            </w:pPr>
            <w:r w:rsidRPr="00216E69">
              <w:t>16.6%</w:t>
            </w:r>
          </w:p>
        </w:tc>
      </w:tr>
      <w:tr w:rsidR="00B815D7" w:rsidRPr="001E7776" w14:paraId="036B6854" w14:textId="77777777" w:rsidTr="001E7776">
        <w:trPr>
          <w:trHeight w:val="288"/>
        </w:trPr>
        <w:tc>
          <w:tcPr>
            <w:tcW w:w="1095" w:type="pct"/>
            <w:shd w:val="clear" w:color="auto" w:fill="auto"/>
            <w:noWrap/>
            <w:hideMark/>
          </w:tcPr>
          <w:p w14:paraId="1ED704C7" w14:textId="77777777" w:rsidR="00B815D7" w:rsidRPr="001E7776" w:rsidRDefault="00B815D7" w:rsidP="00B815D7">
            <w:pPr>
              <w:tabs>
                <w:tab w:val="clear" w:pos="284"/>
              </w:tabs>
              <w:spacing w:line="240" w:lineRule="auto"/>
              <w:rPr>
                <w:rFonts w:eastAsia="Times New Roman" w:cs="Arial"/>
                <w:kern w:val="0"/>
                <w:lang w:eastAsia="en-GB"/>
              </w:rPr>
            </w:pPr>
            <w:r w:rsidRPr="001E7776">
              <w:rPr>
                <w:rFonts w:eastAsia="Times New Roman" w:cs="Arial"/>
                <w:kern w:val="0"/>
                <w:lang w:eastAsia="en-GB"/>
              </w:rPr>
              <w:t>5 or more bedrooms</w:t>
            </w:r>
          </w:p>
        </w:tc>
        <w:tc>
          <w:tcPr>
            <w:tcW w:w="962" w:type="pct"/>
            <w:shd w:val="clear" w:color="auto" w:fill="auto"/>
            <w:noWrap/>
            <w:hideMark/>
          </w:tcPr>
          <w:p w14:paraId="39DF0F0D" w14:textId="751D3475" w:rsidR="00B815D7" w:rsidRPr="001E7776" w:rsidRDefault="00B815D7" w:rsidP="00B815D7">
            <w:pPr>
              <w:tabs>
                <w:tab w:val="clear" w:pos="284"/>
              </w:tabs>
              <w:spacing w:line="240" w:lineRule="auto"/>
              <w:rPr>
                <w:rFonts w:eastAsia="Times New Roman" w:cs="Arial"/>
                <w:kern w:val="0"/>
                <w:lang w:eastAsia="en-GB"/>
              </w:rPr>
            </w:pPr>
            <w:r w:rsidRPr="00216E69">
              <w:t>37</w:t>
            </w:r>
          </w:p>
        </w:tc>
        <w:tc>
          <w:tcPr>
            <w:tcW w:w="721" w:type="pct"/>
            <w:shd w:val="clear" w:color="auto" w:fill="auto"/>
            <w:noWrap/>
            <w:hideMark/>
          </w:tcPr>
          <w:p w14:paraId="3D512783" w14:textId="4A2C0B3F" w:rsidR="00B815D7" w:rsidRPr="001E7776" w:rsidRDefault="00B815D7" w:rsidP="00B815D7">
            <w:pPr>
              <w:tabs>
                <w:tab w:val="clear" w:pos="284"/>
              </w:tabs>
              <w:spacing w:line="240" w:lineRule="auto"/>
              <w:rPr>
                <w:rFonts w:eastAsia="Times New Roman" w:cs="Arial"/>
                <w:kern w:val="0"/>
                <w:lang w:eastAsia="en-GB"/>
              </w:rPr>
            </w:pPr>
            <w:r w:rsidRPr="00216E69">
              <w:t>32</w:t>
            </w:r>
          </w:p>
        </w:tc>
        <w:tc>
          <w:tcPr>
            <w:tcW w:w="1186" w:type="pct"/>
            <w:shd w:val="clear" w:color="auto" w:fill="auto"/>
            <w:noWrap/>
            <w:hideMark/>
          </w:tcPr>
          <w:p w14:paraId="6D65927F" w14:textId="363EFE43" w:rsidR="00B815D7" w:rsidRPr="001E7776" w:rsidRDefault="00B815D7" w:rsidP="00B815D7">
            <w:pPr>
              <w:tabs>
                <w:tab w:val="clear" w:pos="284"/>
              </w:tabs>
              <w:spacing w:line="240" w:lineRule="auto"/>
              <w:rPr>
                <w:rFonts w:eastAsia="Times New Roman" w:cs="Arial"/>
                <w:kern w:val="0"/>
                <w:lang w:eastAsia="en-GB"/>
              </w:rPr>
            </w:pPr>
            <w:r w:rsidRPr="00216E69">
              <w:t>-5</w:t>
            </w:r>
          </w:p>
        </w:tc>
        <w:tc>
          <w:tcPr>
            <w:tcW w:w="1036" w:type="pct"/>
            <w:shd w:val="clear" w:color="auto" w:fill="auto"/>
            <w:noWrap/>
            <w:hideMark/>
          </w:tcPr>
          <w:p w14:paraId="6CB1FE08" w14:textId="71328FA9" w:rsidR="00B815D7" w:rsidRPr="001E7776" w:rsidRDefault="00B815D7" w:rsidP="00B815D7">
            <w:pPr>
              <w:tabs>
                <w:tab w:val="clear" w:pos="284"/>
              </w:tabs>
              <w:spacing w:line="240" w:lineRule="auto"/>
              <w:rPr>
                <w:rFonts w:eastAsia="Times New Roman" w:cs="Arial"/>
                <w:b/>
                <w:kern w:val="0"/>
                <w:lang w:eastAsia="en-GB"/>
              </w:rPr>
            </w:pPr>
            <w:r w:rsidRPr="00216E69">
              <w:t>0.0%</w:t>
            </w:r>
          </w:p>
        </w:tc>
      </w:tr>
    </w:tbl>
    <w:p w14:paraId="4A8E15E3" w14:textId="77777777" w:rsidR="001E7776" w:rsidRPr="001E7776" w:rsidRDefault="001E7776" w:rsidP="006E5E1E">
      <w:pPr>
        <w:pStyle w:val="Source"/>
      </w:pPr>
      <w:r w:rsidRPr="001E7776">
        <w:t>Source: AECOM Calculations</w:t>
      </w:r>
    </w:p>
    <w:p w14:paraId="47EA8838" w14:textId="349891BC" w:rsidR="001E7776" w:rsidRDefault="00BC6ADA" w:rsidP="006E5E1E">
      <w:pPr>
        <w:pStyle w:val="ListNumber"/>
      </w:pPr>
      <w:bookmarkStart w:id="128" w:name="_Toc521491997"/>
      <w:r>
        <w:t xml:space="preserve">Therefore, </w:t>
      </w:r>
      <w:r w:rsidR="001E7776" w:rsidRPr="00242CF3">
        <w:t xml:space="preserve">In order to avoid misalignment between supply and demand and to re-balance the stock, we recommend that approximately </w:t>
      </w:r>
      <w:bookmarkStart w:id="129" w:name="_Hlk7617531"/>
      <w:r w:rsidR="00242CF3" w:rsidRPr="00242CF3">
        <w:t>19</w:t>
      </w:r>
      <w:r w:rsidR="001E7776" w:rsidRPr="00242CF3">
        <w:t xml:space="preserve">% of houses in new developments be one-bedroom homes, </w:t>
      </w:r>
      <w:r w:rsidR="00242CF3" w:rsidRPr="00242CF3">
        <w:t>14</w:t>
      </w:r>
      <w:r w:rsidR="001E7776" w:rsidRPr="00242CF3">
        <w:t>% two-bedroom</w:t>
      </w:r>
      <w:r w:rsidR="00242CF3" w:rsidRPr="00242CF3">
        <w:t>, 52</w:t>
      </w:r>
      <w:r w:rsidR="001E7776" w:rsidRPr="00242CF3">
        <w:t>% three-bedroom</w:t>
      </w:r>
      <w:bookmarkEnd w:id="129"/>
      <w:r w:rsidR="00242CF3" w:rsidRPr="00242CF3">
        <w:t xml:space="preserve"> and 17% 4-bedroom</w:t>
      </w:r>
      <w:r w:rsidR="001E7776" w:rsidRPr="00242CF3">
        <w:t xml:space="preserve">. Most of the need will be for small to medium sized homes and, as such, there will be no need to build further large properties with </w:t>
      </w:r>
      <w:r w:rsidR="00242CF3" w:rsidRPr="00242CF3">
        <w:t>five</w:t>
      </w:r>
      <w:r w:rsidR="001E7776" w:rsidRPr="00242CF3">
        <w:t xml:space="preserve"> or more bedrooms. </w:t>
      </w:r>
    </w:p>
    <w:p w14:paraId="5C1BB30F" w14:textId="2830DC5B" w:rsidR="00BC6ADA" w:rsidRPr="00242CF3" w:rsidRDefault="00BC6ADA" w:rsidP="00D56987">
      <w:pPr>
        <w:numPr>
          <w:ilvl w:val="0"/>
          <w:numId w:val="15"/>
        </w:numPr>
        <w:tabs>
          <w:tab w:val="clear" w:pos="284"/>
        </w:tabs>
        <w:spacing w:after="120" w:line="276" w:lineRule="auto"/>
      </w:pPr>
      <w:r>
        <w:t>Note that the changes to the housing mix given above for four and five-bedroom dwellings are negative numbers</w:t>
      </w:r>
      <w:r w:rsidRPr="005A1148">
        <w:t>.</w:t>
      </w:r>
      <w:r>
        <w:t xml:space="preserve"> </w:t>
      </w:r>
      <w:r w:rsidRPr="00522C81">
        <w:t xml:space="preserve">Because </w:t>
      </w:r>
      <w:r>
        <w:t>in light of the national and local housing shortage, i</w:t>
      </w:r>
      <w:r w:rsidRPr="00522C81">
        <w:t xml:space="preserve">t is </w:t>
      </w:r>
      <w:r>
        <w:t xml:space="preserve">rarely advisable or practicable </w:t>
      </w:r>
      <w:r w:rsidRPr="00522C81">
        <w:t xml:space="preserve">to remove dwellings from the available stock, </w:t>
      </w:r>
      <w:r>
        <w:t xml:space="preserve">as would otherwise be suggested here for dwellings with four or more bedrooms, </w:t>
      </w:r>
      <w:r w:rsidRPr="00522C81">
        <w:t xml:space="preserve">we have set the recommended split at 0% rather than a negative number, and rebalanced the other </w:t>
      </w:r>
      <w:r>
        <w:t>sizes</w:t>
      </w:r>
      <w:r w:rsidRPr="00522C81">
        <w:t xml:space="preserve"> as percentages of the additional dwellings they represent in total.</w:t>
      </w:r>
    </w:p>
    <w:p w14:paraId="0B78B59F" w14:textId="75826945" w:rsidR="001E7776" w:rsidRPr="001E7776" w:rsidRDefault="001E7776" w:rsidP="00C575FB">
      <w:pPr>
        <w:pStyle w:val="Heading2"/>
      </w:pPr>
      <w:bookmarkStart w:id="130" w:name="_Toc532559203"/>
      <w:bookmarkStart w:id="131" w:name="_Toc606609"/>
      <w:bookmarkStart w:id="132" w:name="_Toc5370480"/>
      <w:bookmarkStart w:id="133" w:name="_Toc7379597"/>
      <w:bookmarkStart w:id="134" w:name="_Toc7789757"/>
      <w:bookmarkEnd w:id="128"/>
      <w:r w:rsidRPr="001E7776">
        <w:t>Conclusion</w:t>
      </w:r>
      <w:bookmarkEnd w:id="130"/>
      <w:bookmarkEnd w:id="131"/>
      <w:bookmarkEnd w:id="132"/>
      <w:bookmarkEnd w:id="133"/>
      <w:r w:rsidR="00BC6ADA">
        <w:t>- type and size</w:t>
      </w:r>
      <w:bookmarkEnd w:id="134"/>
    </w:p>
    <w:p w14:paraId="0E391B22" w14:textId="4DBDD7A2" w:rsidR="00523E4B" w:rsidRDefault="001E7776" w:rsidP="00D56987">
      <w:pPr>
        <w:pStyle w:val="ListNumber"/>
        <w:jc w:val="both"/>
      </w:pPr>
      <w:r w:rsidRPr="00242CF3">
        <w:t>The type of home (detached, semi-detached, terraced or flat) is more a matter of taste than need and is therefore of secondary importance in the context of a Housing Needs Assessment. Notwithstanding</w:t>
      </w:r>
      <w:r w:rsidR="00BC6ADA">
        <w:t xml:space="preserve"> this</w:t>
      </w:r>
      <w:r w:rsidRPr="00242CF3">
        <w:t xml:space="preserve">, the housing type that </w:t>
      </w:r>
      <w:r w:rsidR="0056784D">
        <w:t>is</w:t>
      </w:r>
      <w:r w:rsidRPr="00242CF3">
        <w:t xml:space="preserve"> most likely to meet </w:t>
      </w:r>
      <w:r w:rsidR="00BC6ADA">
        <w:t>local</w:t>
      </w:r>
      <w:r w:rsidRPr="00242CF3">
        <w:t xml:space="preserve"> needs, based on the current stock transaction data from the </w:t>
      </w:r>
      <w:r w:rsidR="00BC6ADA">
        <w:t>L</w:t>
      </w:r>
      <w:r w:rsidRPr="00242CF3">
        <w:t xml:space="preserve">and </w:t>
      </w:r>
      <w:r w:rsidR="00BC6ADA">
        <w:t>R</w:t>
      </w:r>
      <w:r w:rsidRPr="00242CF3">
        <w:t>egistry</w:t>
      </w:r>
      <w:r w:rsidR="00BC6ADA">
        <w:t xml:space="preserve"> as well as the local context</w:t>
      </w:r>
      <w:r w:rsidRPr="00242CF3">
        <w:t xml:space="preserve">, </w:t>
      </w:r>
      <w:r w:rsidR="0056784D">
        <w:t>is</w:t>
      </w:r>
      <w:r w:rsidRPr="00242CF3">
        <w:t xml:space="preserve"> detached. Additionally, bungalows appeal to </w:t>
      </w:r>
      <w:r w:rsidR="00BC6ADA">
        <w:t>an ageing</w:t>
      </w:r>
      <w:r w:rsidRPr="00242CF3">
        <w:t xml:space="preserve"> population and</w:t>
      </w:r>
      <w:r w:rsidR="00BC6ADA">
        <w:t xml:space="preserve"> there is therefore potential for</w:t>
      </w:r>
      <w:r w:rsidRPr="00242CF3">
        <w:t xml:space="preserve"> this particular type</w:t>
      </w:r>
      <w:r w:rsidR="00BC6ADA">
        <w:t xml:space="preserve"> to </w:t>
      </w:r>
      <w:r w:rsidRPr="00242CF3">
        <w:t xml:space="preserve">be promoted so as to meet </w:t>
      </w:r>
      <w:r w:rsidR="00BC6ADA">
        <w:t>future demand, particularly as in terms of size they tend to align well with the recommendation that there needs to be a greater provision of small and medium-sized dwellings.</w:t>
      </w:r>
    </w:p>
    <w:p w14:paraId="30DC501B" w14:textId="07063447" w:rsidR="001E7776" w:rsidRPr="00EA3826" w:rsidRDefault="00523E4B" w:rsidP="00D56987">
      <w:pPr>
        <w:pStyle w:val="ListNumber"/>
        <w:jc w:val="both"/>
      </w:pPr>
      <w:r>
        <w:t>Key conclusions on dwelling size can be summarised as follows:</w:t>
      </w:r>
    </w:p>
    <w:p w14:paraId="0EF9F042" w14:textId="61DD5D3D" w:rsidR="001E7776" w:rsidRPr="00EA3826" w:rsidRDefault="00A61EB3" w:rsidP="00EA3826">
      <w:pPr>
        <w:pStyle w:val="ListParagraph"/>
        <w:numPr>
          <w:ilvl w:val="0"/>
          <w:numId w:val="22"/>
        </w:numPr>
      </w:pPr>
      <w:r w:rsidRPr="00EA3826">
        <w:t>Copdock and Washbrook</w:t>
      </w:r>
      <w:r w:rsidR="001E7776" w:rsidRPr="00EA3826">
        <w:t xml:space="preserve">, in line with the District, is dominated </w:t>
      </w:r>
      <w:r w:rsidR="00242CF3" w:rsidRPr="00EA3826">
        <w:t>by family-sized dwellings (2-4 bedrooms)</w:t>
      </w:r>
      <w:r w:rsidR="001E7776" w:rsidRPr="00EA3826">
        <w:t xml:space="preserve">. </w:t>
      </w:r>
      <w:r w:rsidR="00523E4B">
        <w:t>Household size tends to be larger than that</w:t>
      </w:r>
      <w:r w:rsidR="001E7776" w:rsidRPr="00EA3826">
        <w:t xml:space="preserve"> of the wider District (average household size in the NA is 2.</w:t>
      </w:r>
      <w:r w:rsidR="00EA3826" w:rsidRPr="00EA3826">
        <w:t>46</w:t>
      </w:r>
      <w:r w:rsidR="001E7776" w:rsidRPr="00EA3826">
        <w:t xml:space="preserve"> </w:t>
      </w:r>
      <w:r w:rsidR="00523E4B">
        <w:t>versus</w:t>
      </w:r>
      <w:r w:rsidR="001E7776" w:rsidRPr="00EA3826">
        <w:t xml:space="preserve"> 2.3</w:t>
      </w:r>
      <w:r w:rsidR="00EA3826" w:rsidRPr="00EA3826">
        <w:t>4</w:t>
      </w:r>
      <w:r w:rsidR="00523E4B">
        <w:t xml:space="preserve"> in Babergh</w:t>
      </w:r>
      <w:r w:rsidR="001E7776" w:rsidRPr="00EA3826">
        <w:t>)</w:t>
      </w:r>
      <w:r w:rsidR="00523E4B">
        <w:t>;</w:t>
      </w:r>
    </w:p>
    <w:p w14:paraId="438E8D4E" w14:textId="77777777" w:rsidR="00C575FB" w:rsidRDefault="00C575FB" w:rsidP="00EA3826">
      <w:pPr>
        <w:rPr>
          <w:highlight w:val="yellow"/>
        </w:rPr>
      </w:pPr>
    </w:p>
    <w:p w14:paraId="7AECE9F6" w14:textId="7962299C" w:rsidR="00523E4B" w:rsidRPr="00D56987" w:rsidRDefault="001E7776">
      <w:pPr>
        <w:pStyle w:val="ListParagraph"/>
        <w:numPr>
          <w:ilvl w:val="0"/>
          <w:numId w:val="22"/>
        </w:numPr>
        <w:rPr>
          <w:i/>
        </w:rPr>
      </w:pPr>
      <w:r w:rsidRPr="005E51D8">
        <w:t>There has been a</w:t>
      </w:r>
      <w:r w:rsidR="00523E4B">
        <w:t xml:space="preserve"> general</w:t>
      </w:r>
      <w:r w:rsidR="005E51D8" w:rsidRPr="005E51D8">
        <w:t xml:space="preserve"> increase in dwelling size over the inter-census period, particularly </w:t>
      </w:r>
      <w:r w:rsidR="00523E4B">
        <w:t xml:space="preserve">in terms of </w:t>
      </w:r>
      <w:r w:rsidR="005E51D8" w:rsidRPr="005E51D8">
        <w:t>medium to large sized homes of 4+ rooms</w:t>
      </w:r>
      <w:r w:rsidR="00523E4B">
        <w:t xml:space="preserve">. </w:t>
      </w:r>
      <w:r w:rsidR="005E51D8" w:rsidRPr="005E51D8">
        <w:t xml:space="preserve">However, </w:t>
      </w:r>
      <w:r w:rsidRPr="005E51D8">
        <w:t xml:space="preserve">it is evident from the life stage modelling that demand for more small and medium homes may </w:t>
      </w:r>
      <w:r w:rsidR="00523E4B">
        <w:t>constrain the supply of these larger homes in coming years</w:t>
      </w:r>
      <w:r w:rsidRPr="005E51D8">
        <w:t xml:space="preserve">. </w:t>
      </w:r>
      <w:r w:rsidR="00523E4B">
        <w:t>On the basis of forward population projections, and allowing for the existing stock, the best size split to correct misalignments between supply and demand is likely to be</w:t>
      </w:r>
      <w:r w:rsidRPr="005E51D8">
        <w:t xml:space="preserve"> about </w:t>
      </w:r>
      <w:r w:rsidR="005E51D8" w:rsidRPr="005E51D8">
        <w:t>19% of houses should be one-bedroom homes, 14% two-bedroom, 52% three-bedroom and 17% 4-bedroom</w:t>
      </w:r>
      <w:r w:rsidR="00523E4B">
        <w:t xml:space="preserve"> (percentages may not sum due to rounding);</w:t>
      </w:r>
    </w:p>
    <w:p w14:paraId="1F8826C7" w14:textId="77777777" w:rsidR="00A90699" w:rsidRPr="00D56987" w:rsidRDefault="00A90699" w:rsidP="00D56987">
      <w:pPr>
        <w:pStyle w:val="ListParagraph"/>
        <w:ind w:left="1080"/>
        <w:rPr>
          <w:i/>
        </w:rPr>
      </w:pPr>
    </w:p>
    <w:p w14:paraId="4124100A" w14:textId="45445D49" w:rsidR="00A90699" w:rsidRPr="00D56987" w:rsidRDefault="00A90699">
      <w:pPr>
        <w:pStyle w:val="ListParagraph"/>
        <w:numPr>
          <w:ilvl w:val="0"/>
          <w:numId w:val="22"/>
        </w:numPr>
        <w:rPr>
          <w:i/>
        </w:rPr>
      </w:pPr>
      <w:r>
        <w:t>The calculations on future provision indicate that there is no further requirement during the Neighbourhood Plan period for dwellings of five bedrooms or more;</w:t>
      </w:r>
    </w:p>
    <w:p w14:paraId="255563C4" w14:textId="77777777" w:rsidR="00523E4B" w:rsidRPr="00D56987" w:rsidRDefault="00523E4B" w:rsidP="00D56987">
      <w:pPr>
        <w:pStyle w:val="ListParagraph"/>
        <w:ind w:left="1080"/>
        <w:rPr>
          <w:i/>
        </w:rPr>
      </w:pPr>
    </w:p>
    <w:p w14:paraId="22B82D77" w14:textId="45E338B0" w:rsidR="00C575FB" w:rsidRPr="00523E4B" w:rsidRDefault="00523E4B">
      <w:pPr>
        <w:pStyle w:val="ListParagraph"/>
        <w:numPr>
          <w:ilvl w:val="0"/>
          <w:numId w:val="22"/>
        </w:numPr>
        <w:rPr>
          <w:i/>
        </w:rPr>
      </w:pPr>
      <w:r>
        <w:t>The AECOM calculations on future provision can be ‘sense-checked’ against the very similar conclusions of the SHMA- even though AECOM is modelling future provision in the Parish and the SHMA across Babergh as a whole, the overall conclusion</w:t>
      </w:r>
      <w:r w:rsidR="00A90699">
        <w:t>s are similar in terms of demand for dwellings of three bedrooms and for lower levels of demand for larger dwellings; and</w:t>
      </w:r>
    </w:p>
    <w:p w14:paraId="61FD4888" w14:textId="77777777" w:rsidR="005E51D8" w:rsidRPr="005E51D8" w:rsidRDefault="005E51D8" w:rsidP="00EA3826">
      <w:pPr>
        <w:rPr>
          <w:i/>
          <w:highlight w:val="yellow"/>
        </w:rPr>
      </w:pPr>
    </w:p>
    <w:p w14:paraId="3B54293E" w14:textId="1F4D02D8" w:rsidR="001E7776" w:rsidRPr="00EA3826" w:rsidRDefault="001E7776" w:rsidP="00EA3826">
      <w:pPr>
        <w:pStyle w:val="ListParagraph"/>
        <w:numPr>
          <w:ilvl w:val="0"/>
          <w:numId w:val="22"/>
        </w:numPr>
        <w:rPr>
          <w:i/>
        </w:rPr>
      </w:pPr>
      <w:r w:rsidRPr="005E51D8">
        <w:t xml:space="preserve">Whilst the demand for three-bedroom homes will </w:t>
      </w:r>
      <w:r w:rsidR="00A90699">
        <w:t>be</w:t>
      </w:r>
      <w:r w:rsidRPr="005E51D8">
        <w:t xml:space="preserve"> significant, it is </w:t>
      </w:r>
      <w:r w:rsidR="00A90699">
        <w:t xml:space="preserve">also </w:t>
      </w:r>
      <w:r w:rsidRPr="005E51D8">
        <w:t xml:space="preserve">important to acknowledge that </w:t>
      </w:r>
      <w:r w:rsidR="00A90699">
        <w:t xml:space="preserve">the smaller dwellings will also have an important role to play in terms of </w:t>
      </w:r>
      <w:r w:rsidRPr="005E51D8">
        <w:t>cater</w:t>
      </w:r>
      <w:r w:rsidR="00A90699">
        <w:t>ing</w:t>
      </w:r>
      <w:r w:rsidRPr="005E51D8">
        <w:t xml:space="preserve"> for the growing older population</w:t>
      </w:r>
      <w:r w:rsidR="00A90699">
        <w:t xml:space="preserve">. They have the potential to </w:t>
      </w:r>
      <w:r w:rsidRPr="005E51D8">
        <w:t xml:space="preserve">allow older households to downsize (which will make existing larger family housing </w:t>
      </w:r>
      <w:r w:rsidRPr="005E51D8">
        <w:lastRenderedPageBreak/>
        <w:t xml:space="preserve">available for those in need). Moreover, </w:t>
      </w:r>
      <w:r w:rsidR="00A90699">
        <w:t xml:space="preserve">they also have the potential to be more affordable to </w:t>
      </w:r>
      <w:r w:rsidRPr="005E51D8">
        <w:t>younger households</w:t>
      </w:r>
      <w:r w:rsidR="00A90699">
        <w:t>.</w:t>
      </w:r>
    </w:p>
    <w:p w14:paraId="26BF12A8" w14:textId="77777777" w:rsidR="001E7776" w:rsidRPr="001E7776" w:rsidRDefault="001E7776" w:rsidP="001E7776">
      <w:pPr>
        <w:tabs>
          <w:tab w:val="clear" w:pos="284"/>
        </w:tabs>
        <w:spacing w:line="240" w:lineRule="auto"/>
        <w:rPr>
          <w:rFonts w:asciiTheme="majorHAnsi" w:eastAsiaTheme="majorEastAsia" w:hAnsiTheme="majorHAnsi" w:cstheme="majorBidi"/>
          <w:b/>
          <w:bCs/>
          <w:color w:val="00B5E2" w:themeColor="accent1"/>
          <w:sz w:val="30"/>
          <w:szCs w:val="28"/>
        </w:rPr>
      </w:pPr>
      <w:r w:rsidRPr="001E7776">
        <w:br w:type="page"/>
      </w:r>
    </w:p>
    <w:p w14:paraId="7BD82D75" w14:textId="0F7E284A" w:rsidR="00EC0ED4" w:rsidRDefault="00EC0ED4" w:rsidP="00EC0ED4">
      <w:pPr>
        <w:pStyle w:val="Heading1"/>
        <w:rPr>
          <w:lang w:val="en-US"/>
        </w:rPr>
      </w:pPr>
      <w:bookmarkStart w:id="135" w:name="_Toc7789758"/>
      <w:bookmarkStart w:id="136" w:name="_Toc425332024"/>
      <w:bookmarkStart w:id="137" w:name="_Toc461696231"/>
      <w:bookmarkEnd w:id="59"/>
      <w:r>
        <w:rPr>
          <w:lang w:val="en-US"/>
        </w:rPr>
        <w:lastRenderedPageBreak/>
        <w:t>Conclusions</w:t>
      </w:r>
      <w:bookmarkEnd w:id="135"/>
    </w:p>
    <w:p w14:paraId="3110CF41" w14:textId="77777777" w:rsidR="00A90699" w:rsidRDefault="00A90699" w:rsidP="00A90699">
      <w:pPr>
        <w:pStyle w:val="Heading2"/>
        <w:ind w:left="851"/>
        <w:jc w:val="both"/>
      </w:pPr>
      <w:bookmarkStart w:id="138" w:name="_Toc2069342"/>
      <w:bookmarkStart w:id="139" w:name="_Toc7422228"/>
      <w:bookmarkStart w:id="140" w:name="_Toc7789759"/>
      <w:r>
        <w:t>Findings and recommendations</w:t>
      </w:r>
      <w:bookmarkEnd w:id="138"/>
      <w:bookmarkEnd w:id="139"/>
      <w:bookmarkEnd w:id="140"/>
    </w:p>
    <w:p w14:paraId="006EADDE" w14:textId="7AFCF1C0" w:rsidR="00A90699" w:rsidRPr="00D56987" w:rsidRDefault="00A90699" w:rsidP="00D56987">
      <w:pPr>
        <w:pStyle w:val="ListNumber"/>
        <w:jc w:val="both"/>
      </w:pPr>
      <w:r>
        <w:rPr>
          <w:b/>
        </w:rPr>
        <w:fldChar w:fldCharType="begin"/>
      </w:r>
      <w:r>
        <w:instrText xml:space="preserve"> REF _Ref5218405 \h </w:instrText>
      </w:r>
      <w:r>
        <w:rPr>
          <w:b/>
        </w:rPr>
        <w:instrText xml:space="preserve"> \* MERGEFORMAT </w:instrText>
      </w:r>
      <w:r>
        <w:rPr>
          <w:b/>
        </w:rPr>
      </w:r>
      <w:r>
        <w:rPr>
          <w:b/>
        </w:rPr>
        <w:fldChar w:fldCharType="separate"/>
      </w:r>
      <w:r>
        <w:t xml:space="preserve">Table </w:t>
      </w:r>
      <w:r>
        <w:rPr>
          <w:noProof/>
        </w:rPr>
        <w:t>6</w:t>
      </w:r>
      <w:r>
        <w:t>.</w:t>
      </w:r>
      <w:r>
        <w:rPr>
          <w:noProof/>
        </w:rPr>
        <w:t>1</w:t>
      </w:r>
      <w:r>
        <w:rPr>
          <w:b/>
        </w:rPr>
        <w:fldChar w:fldCharType="end"/>
      </w:r>
      <w:r>
        <w:rPr>
          <w:b/>
        </w:rPr>
        <w:t xml:space="preserve"> </w:t>
      </w:r>
      <w:r>
        <w:t xml:space="preserve">below summarises issues affecting the type of housing needed in Copdock and Washbrook, and the relevant HNA final recommendations. </w:t>
      </w:r>
    </w:p>
    <w:p w14:paraId="4F839DEF" w14:textId="7974C52C" w:rsidR="00EC0ED4" w:rsidRPr="001C727A" w:rsidRDefault="00EC0ED4" w:rsidP="00EC0ED4">
      <w:pPr>
        <w:pStyle w:val="Caption"/>
      </w:pPr>
      <w:r>
        <w:t xml:space="preserve">Table </w:t>
      </w:r>
      <w:r w:rsidR="00007410">
        <w:rPr>
          <w:noProof/>
        </w:rPr>
        <w:fldChar w:fldCharType="begin"/>
      </w:r>
      <w:r w:rsidR="00007410">
        <w:rPr>
          <w:noProof/>
        </w:rPr>
        <w:instrText xml:space="preserve"> STYLEREF 1 \s </w:instrText>
      </w:r>
      <w:r w:rsidR="00007410">
        <w:rPr>
          <w:noProof/>
        </w:rPr>
        <w:fldChar w:fldCharType="separate"/>
      </w:r>
      <w:r w:rsidR="004F6699">
        <w:rPr>
          <w:noProof/>
        </w:rPr>
        <w:t>6</w:t>
      </w:r>
      <w:r w:rsidR="00007410">
        <w:rPr>
          <w:noProof/>
        </w:rPr>
        <w:fldChar w:fldCharType="end"/>
      </w:r>
      <w:r>
        <w:noBreakHyphen/>
      </w:r>
      <w:r w:rsidR="00007410">
        <w:rPr>
          <w:noProof/>
        </w:rPr>
        <w:fldChar w:fldCharType="begin"/>
      </w:r>
      <w:r w:rsidR="00007410">
        <w:rPr>
          <w:noProof/>
        </w:rPr>
        <w:instrText xml:space="preserve"> SEQ Table \* ARABIC \s 1 </w:instrText>
      </w:r>
      <w:r w:rsidR="00007410">
        <w:rPr>
          <w:noProof/>
        </w:rPr>
        <w:fldChar w:fldCharType="separate"/>
      </w:r>
      <w:r w:rsidR="004F6699">
        <w:rPr>
          <w:noProof/>
        </w:rPr>
        <w:t>1</w:t>
      </w:r>
      <w:r w:rsidR="00007410">
        <w:rPr>
          <w:noProof/>
        </w:rPr>
        <w:fldChar w:fldCharType="end"/>
      </w:r>
      <w:r>
        <w:t>:</w:t>
      </w:r>
      <w:r>
        <w:rPr>
          <w:lang w:val="en-US"/>
        </w:rPr>
        <w:t xml:space="preserve"> </w:t>
      </w:r>
      <w:r w:rsidRPr="00B90B1C">
        <w:rPr>
          <w:lang w:val="en-US"/>
        </w:rPr>
        <w:t xml:space="preserve">Summary of local </w:t>
      </w:r>
      <w:r w:rsidR="00A90699">
        <w:rPr>
          <w:lang w:val="en-US"/>
        </w:rPr>
        <w:t>issues</w:t>
      </w:r>
      <w:r w:rsidR="00A90699" w:rsidRPr="00B90B1C">
        <w:rPr>
          <w:lang w:val="en-US"/>
        </w:rPr>
        <w:t xml:space="preserve"> </w:t>
      </w:r>
      <w:r w:rsidRPr="00B90B1C">
        <w:rPr>
          <w:lang w:val="en-US"/>
        </w:rPr>
        <w:t xml:space="preserve">specific to </w:t>
      </w:r>
      <w:r>
        <w:rPr>
          <w:lang w:val="en-US"/>
        </w:rPr>
        <w:t xml:space="preserve">Copdock </w:t>
      </w:r>
      <w:r w:rsidRPr="00B90B1C">
        <w:rPr>
          <w:lang w:val="en-US"/>
        </w:rPr>
        <w:t xml:space="preserve">with a potential impact on neighbourhood plan </w:t>
      </w:r>
      <w:r w:rsidRPr="001C727A">
        <w:t>housing</w:t>
      </w:r>
      <w:r w:rsidR="00A90699">
        <w:t xml:space="preserve"> policies</w:t>
      </w:r>
    </w:p>
    <w:tbl>
      <w:tblPr>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959"/>
        <w:gridCol w:w="2126"/>
        <w:gridCol w:w="2977"/>
        <w:gridCol w:w="3838"/>
      </w:tblGrid>
      <w:tr w:rsidR="00EC0ED4" w:rsidRPr="00B90B1C" w14:paraId="228C3ACA" w14:textId="77777777" w:rsidTr="00D56987">
        <w:trPr>
          <w:tblHeader/>
        </w:trPr>
        <w:tc>
          <w:tcPr>
            <w:tcW w:w="959" w:type="dxa"/>
            <w:shd w:val="clear" w:color="auto" w:fill="000000" w:themeFill="text1"/>
            <w:hideMark/>
          </w:tcPr>
          <w:p w14:paraId="074EC9C5" w14:textId="0FBD2F1C" w:rsidR="00EC0ED4" w:rsidRPr="00B90B1C" w:rsidRDefault="00A90699" w:rsidP="00F05BB8">
            <w:pPr>
              <w:pStyle w:val="BodyText"/>
              <w:rPr>
                <w:bCs/>
              </w:rPr>
            </w:pPr>
            <w:bookmarkStart w:id="141" w:name="_Hlk7712334"/>
            <w:r>
              <w:rPr>
                <w:bCs/>
              </w:rPr>
              <w:t>Issue</w:t>
            </w:r>
          </w:p>
        </w:tc>
        <w:tc>
          <w:tcPr>
            <w:tcW w:w="2126" w:type="dxa"/>
            <w:shd w:val="clear" w:color="auto" w:fill="000000" w:themeFill="text1"/>
            <w:hideMark/>
          </w:tcPr>
          <w:p w14:paraId="749F4C47" w14:textId="77777777" w:rsidR="00EC0ED4" w:rsidRPr="00B90B1C" w:rsidRDefault="00EC0ED4" w:rsidP="00F05BB8">
            <w:pPr>
              <w:pStyle w:val="BodyText"/>
              <w:rPr>
                <w:bCs/>
              </w:rPr>
            </w:pPr>
            <w:r>
              <w:rPr>
                <w:bCs/>
              </w:rPr>
              <w:t>Source(s) (see Chapter 3</w:t>
            </w:r>
            <w:r w:rsidRPr="00B90B1C">
              <w:rPr>
                <w:bCs/>
              </w:rPr>
              <w:t>)</w:t>
            </w:r>
          </w:p>
        </w:tc>
        <w:tc>
          <w:tcPr>
            <w:tcW w:w="2977" w:type="dxa"/>
            <w:shd w:val="clear" w:color="auto" w:fill="000000" w:themeFill="text1"/>
            <w:hideMark/>
          </w:tcPr>
          <w:p w14:paraId="1E3E2519" w14:textId="0B4D00ED" w:rsidR="00EC0ED4" w:rsidRPr="00B90B1C" w:rsidRDefault="00465696" w:rsidP="00F05BB8">
            <w:pPr>
              <w:pStyle w:val="BodyText"/>
              <w:rPr>
                <w:bCs/>
              </w:rPr>
            </w:pPr>
            <w:r>
              <w:rPr>
                <w:bCs/>
              </w:rPr>
              <w:t>Evidence and data</w:t>
            </w:r>
          </w:p>
        </w:tc>
        <w:tc>
          <w:tcPr>
            <w:tcW w:w="3838" w:type="dxa"/>
            <w:shd w:val="clear" w:color="auto" w:fill="000000" w:themeFill="text1"/>
          </w:tcPr>
          <w:p w14:paraId="5121F9BC" w14:textId="77777777" w:rsidR="00EC0ED4" w:rsidRPr="00B90B1C" w:rsidRDefault="00EC0ED4" w:rsidP="00F05BB8">
            <w:pPr>
              <w:pStyle w:val="BodyText"/>
              <w:rPr>
                <w:bCs/>
              </w:rPr>
            </w:pPr>
            <w:r w:rsidRPr="00B90B1C">
              <w:rPr>
                <w:bCs/>
              </w:rPr>
              <w:t>Conclusion</w:t>
            </w:r>
          </w:p>
          <w:p w14:paraId="1F769058" w14:textId="77777777" w:rsidR="00EC0ED4" w:rsidRPr="00B90B1C" w:rsidRDefault="00EC0ED4" w:rsidP="00F05BB8">
            <w:pPr>
              <w:pStyle w:val="BodyText"/>
              <w:rPr>
                <w:bCs/>
              </w:rPr>
            </w:pPr>
          </w:p>
        </w:tc>
      </w:tr>
      <w:tr w:rsidR="00EC0ED4" w:rsidRPr="00B90B1C" w14:paraId="5DD75444" w14:textId="77777777" w:rsidTr="00D56987">
        <w:tc>
          <w:tcPr>
            <w:tcW w:w="959" w:type="dxa"/>
            <w:tcBorders>
              <w:top w:val="single" w:sz="4" w:space="0" w:color="7F7F7F"/>
              <w:left w:val="single" w:sz="4" w:space="0" w:color="7F7F7F"/>
              <w:bottom w:val="single" w:sz="4" w:space="0" w:color="7F7F7F"/>
              <w:right w:val="single" w:sz="4" w:space="0" w:color="7F7F7F"/>
            </w:tcBorders>
            <w:shd w:val="clear" w:color="auto" w:fill="auto"/>
          </w:tcPr>
          <w:p w14:paraId="78B82169" w14:textId="77777777" w:rsidR="00EC0ED4" w:rsidRPr="00B90B1C" w:rsidRDefault="00EC0ED4" w:rsidP="00F05BB8">
            <w:pPr>
              <w:pStyle w:val="BodyText"/>
              <w:rPr>
                <w:b/>
                <w:bCs/>
              </w:rPr>
            </w:pPr>
            <w:bookmarkStart w:id="142" w:name="_Hlk7377556"/>
            <w:r w:rsidRPr="00974E34">
              <w:rPr>
                <w:b/>
                <w:bCs/>
              </w:rPr>
              <w:t>Quantity</w:t>
            </w:r>
          </w:p>
        </w:tc>
        <w:tc>
          <w:tcPr>
            <w:tcW w:w="2126" w:type="dxa"/>
            <w:tcBorders>
              <w:top w:val="single" w:sz="4" w:space="0" w:color="7F7F7F"/>
              <w:left w:val="single" w:sz="4" w:space="0" w:color="7F7F7F"/>
              <w:bottom w:val="single" w:sz="4" w:space="0" w:color="7F7F7F"/>
              <w:right w:val="single" w:sz="4" w:space="0" w:color="7F7F7F"/>
            </w:tcBorders>
            <w:shd w:val="clear" w:color="auto" w:fill="auto"/>
          </w:tcPr>
          <w:p w14:paraId="4AE6A4AB" w14:textId="54D34790" w:rsidR="00EC0ED4" w:rsidRPr="00B90B1C" w:rsidRDefault="00EC0ED4" w:rsidP="00F05BB8">
            <w:pPr>
              <w:pStyle w:val="BodyText"/>
              <w:rPr>
                <w:bCs/>
              </w:rPr>
            </w:pPr>
            <w:r w:rsidRPr="00874B5D">
              <w:rPr>
                <w:bCs/>
              </w:rPr>
              <w:t>201</w:t>
            </w:r>
            <w:r>
              <w:rPr>
                <w:bCs/>
              </w:rPr>
              <w:t>8</w:t>
            </w:r>
            <w:r w:rsidRPr="00874B5D">
              <w:rPr>
                <w:bCs/>
              </w:rPr>
              <w:t xml:space="preserve"> National P</w:t>
            </w:r>
            <w:r>
              <w:rPr>
                <w:bCs/>
              </w:rPr>
              <w:t xml:space="preserve">lanning Policy Framework (NPPF), </w:t>
            </w:r>
            <w:r w:rsidRPr="00874B5D">
              <w:rPr>
                <w:bCs/>
              </w:rPr>
              <w:t>Planning Practice Guidance (PPG)</w:t>
            </w:r>
            <w:r>
              <w:rPr>
                <w:bCs/>
              </w:rPr>
              <w:t xml:space="preserve">, </w:t>
            </w:r>
            <w:r>
              <w:t>Babergh Local Plan 201</w:t>
            </w:r>
            <w:r w:rsidR="00E36D97">
              <w:t>4</w:t>
            </w:r>
            <w:r w:rsidR="00A90699">
              <w:t>, Joint Local Plan 2017</w:t>
            </w:r>
          </w:p>
        </w:tc>
        <w:tc>
          <w:tcPr>
            <w:tcW w:w="2977" w:type="dxa"/>
            <w:tcBorders>
              <w:top w:val="single" w:sz="4" w:space="0" w:color="7F7F7F"/>
              <w:left w:val="single" w:sz="4" w:space="0" w:color="7F7F7F"/>
              <w:bottom w:val="single" w:sz="4" w:space="0" w:color="7F7F7F"/>
              <w:right w:val="single" w:sz="4" w:space="0" w:color="7F7F7F"/>
            </w:tcBorders>
            <w:shd w:val="clear" w:color="auto" w:fill="auto"/>
          </w:tcPr>
          <w:p w14:paraId="4BE023F1" w14:textId="12DC839B" w:rsidR="00465696" w:rsidRPr="00465696" w:rsidRDefault="00465696" w:rsidP="00465696">
            <w:pPr>
              <w:pStyle w:val="BodyText"/>
              <w:rPr>
                <w:bCs/>
              </w:rPr>
            </w:pPr>
            <w:r w:rsidRPr="00465696">
              <w:rPr>
                <w:bCs/>
              </w:rPr>
              <w:t>Given that no indicative housing requirement figure has been provided by Babergh to Copdock and Washbrook there is a need to calculate an indicative Housing Need Figure (</w:t>
            </w:r>
            <w:r>
              <w:rPr>
                <w:bCs/>
              </w:rPr>
              <w:t>HRF</w:t>
            </w:r>
            <w:r w:rsidRPr="00465696">
              <w:rPr>
                <w:bCs/>
              </w:rPr>
              <w:t>) for the Neighbourhood Plan area. This can then be used as the starting point for further work to establish a policy-on Housing Requirement Figure.</w:t>
            </w:r>
          </w:p>
          <w:p w14:paraId="0D4800C7" w14:textId="7B04D0BD" w:rsidR="00EC0ED4" w:rsidRPr="00B90B1C" w:rsidRDefault="00465696" w:rsidP="00D56987">
            <w:pPr>
              <w:pStyle w:val="BodyText"/>
              <w:rPr>
                <w:bCs/>
              </w:rPr>
            </w:pPr>
            <w:r w:rsidRPr="00465696">
              <w:rPr>
                <w:bCs/>
              </w:rPr>
              <w:t xml:space="preserve">We have estimated the number of new dwellings that should be sought in the NA over the Plan period (the Housing Need Figure or </w:t>
            </w:r>
            <w:r>
              <w:rPr>
                <w:bCs/>
              </w:rPr>
              <w:t>HRF</w:t>
            </w:r>
            <w:r w:rsidRPr="00465696">
              <w:rPr>
                <w:bCs/>
              </w:rPr>
              <w:t xml:space="preserve">) using a four-step approach in accordance with the 2019 National Planning Policy Framework (NPPF) and Planning Practice Guidance (PPG). </w:t>
            </w:r>
          </w:p>
        </w:tc>
        <w:tc>
          <w:tcPr>
            <w:tcW w:w="3838" w:type="dxa"/>
            <w:tcBorders>
              <w:top w:val="single" w:sz="4" w:space="0" w:color="7F7F7F"/>
              <w:left w:val="single" w:sz="4" w:space="0" w:color="7F7F7F"/>
              <w:bottom w:val="single" w:sz="4" w:space="0" w:color="7F7F7F"/>
              <w:right w:val="single" w:sz="4" w:space="0" w:color="7F7F7F"/>
            </w:tcBorders>
            <w:shd w:val="clear" w:color="auto" w:fill="auto"/>
          </w:tcPr>
          <w:p w14:paraId="3038CE76" w14:textId="7E1081F8" w:rsidR="00465696" w:rsidRPr="00465696" w:rsidRDefault="00465696" w:rsidP="00465696">
            <w:pPr>
              <w:pStyle w:val="BodyText"/>
              <w:rPr>
                <w:bCs/>
              </w:rPr>
            </w:pPr>
            <w:r w:rsidRPr="00465696">
              <w:rPr>
                <w:bCs/>
              </w:rPr>
              <w:t>Based</w:t>
            </w:r>
            <w:r>
              <w:rPr>
                <w:bCs/>
              </w:rPr>
              <w:t xml:space="preserve"> on the evidence reviewed, this HNA </w:t>
            </w:r>
            <w:r w:rsidRPr="00465696">
              <w:rPr>
                <w:bCs/>
              </w:rPr>
              <w:t xml:space="preserve">recommends an </w:t>
            </w:r>
            <w:r>
              <w:rPr>
                <w:bCs/>
              </w:rPr>
              <w:t>indicative overall HR</w:t>
            </w:r>
            <w:r w:rsidRPr="00465696">
              <w:rPr>
                <w:bCs/>
              </w:rPr>
              <w:t xml:space="preserve">F of 1 dwelling (rounded) per annum, or 18 dwellings over the Neighbourhood plan period, 2018-2036. Note, however, that this recommendation is based on a Core Strategy that uses a now-superseded method of calculation dwelling need, and therefore has the potential to be superseded either by a) Babergh Council providing an HRF to the Parish, which they have indicated they will do during 2019, or b) by the adoption of the JLP, which, as per the </w:t>
            </w:r>
            <w:r>
              <w:rPr>
                <w:bCs/>
              </w:rPr>
              <w:t>Standard Method</w:t>
            </w:r>
            <w:r w:rsidRPr="00465696">
              <w:rPr>
                <w:bCs/>
              </w:rPr>
              <w:t>, is likely to result in a higher HRF for the parish.</w:t>
            </w:r>
          </w:p>
          <w:p w14:paraId="1E527ECE" w14:textId="493731DD" w:rsidR="00EC0ED4" w:rsidRPr="00B90B1C" w:rsidRDefault="00465696" w:rsidP="00465696">
            <w:pPr>
              <w:spacing w:after="180"/>
              <w:jc w:val="both"/>
              <w:rPr>
                <w:lang w:val="en-US"/>
              </w:rPr>
            </w:pPr>
            <w:r>
              <w:rPr>
                <w:bCs/>
              </w:rPr>
              <w:t xml:space="preserve">As such, </w:t>
            </w:r>
            <w:r w:rsidRPr="00465696">
              <w:rPr>
                <w:bCs/>
              </w:rPr>
              <w:t>it is recommended that the Parish continues to liaise closely with BDC on the issue of overall quantity of housing as the JLP and the Neighbourhood Plan develop further.</w:t>
            </w:r>
          </w:p>
        </w:tc>
      </w:tr>
      <w:bookmarkEnd w:id="142"/>
      <w:tr w:rsidR="00FB34E2" w:rsidRPr="00B90B1C" w14:paraId="5074075A" w14:textId="77777777" w:rsidTr="00D56987">
        <w:tc>
          <w:tcPr>
            <w:tcW w:w="9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C88DB8" w14:textId="192E01C1" w:rsidR="00FB34E2" w:rsidRPr="00B90B1C" w:rsidRDefault="00465696" w:rsidP="00FB34E2">
            <w:pPr>
              <w:pStyle w:val="BodyText"/>
              <w:rPr>
                <w:b/>
                <w:bCs/>
              </w:rPr>
            </w:pPr>
            <w:r>
              <w:rPr>
                <w:b/>
                <w:bCs/>
              </w:rPr>
              <w:t>Dwelling t</w:t>
            </w:r>
            <w:r w:rsidR="00FB34E2" w:rsidRPr="00974E34">
              <w:rPr>
                <w:b/>
                <w:bCs/>
              </w:rPr>
              <w:t xml:space="preserve">ype and </w:t>
            </w:r>
            <w:r>
              <w:rPr>
                <w:b/>
                <w:bCs/>
              </w:rPr>
              <w:t>s</w:t>
            </w:r>
            <w:r w:rsidR="00FB34E2" w:rsidRPr="00974E34">
              <w:rPr>
                <w:b/>
                <w:bCs/>
              </w:rPr>
              <w:t>ize</w:t>
            </w:r>
          </w:p>
        </w:tc>
        <w:tc>
          <w:tcPr>
            <w:tcW w:w="2126" w:type="dxa"/>
            <w:tcBorders>
              <w:top w:val="single" w:sz="4" w:space="0" w:color="7F7F7F"/>
              <w:left w:val="single" w:sz="4" w:space="0" w:color="7F7F7F"/>
              <w:bottom w:val="single" w:sz="4" w:space="0" w:color="7F7F7F"/>
              <w:right w:val="single" w:sz="4" w:space="0" w:color="7F7F7F"/>
            </w:tcBorders>
            <w:shd w:val="clear" w:color="auto" w:fill="auto"/>
          </w:tcPr>
          <w:p w14:paraId="30F19D97" w14:textId="486D400B" w:rsidR="00FB34E2" w:rsidRPr="00B90B1C" w:rsidRDefault="00FB34E2" w:rsidP="00D56987">
            <w:pPr>
              <w:spacing w:after="180"/>
            </w:pPr>
            <w:r w:rsidRPr="004941CC">
              <w:rPr>
                <w:bCs/>
                <w:webHidden/>
              </w:rPr>
              <w:t>AECOM Calculations,</w:t>
            </w:r>
            <w:r w:rsidRPr="004941CC">
              <w:rPr>
                <w:bCs/>
              </w:rPr>
              <w:t xml:space="preserve"> </w:t>
            </w:r>
            <w:r w:rsidRPr="004941CC">
              <w:rPr>
                <w:bCs/>
                <w:webHidden/>
              </w:rPr>
              <w:t xml:space="preserve">ONS 2011 </w:t>
            </w:r>
            <w:r w:rsidRPr="004941CC">
              <w:rPr>
                <w:bCs/>
              </w:rPr>
              <w:t>MHCLG 2014-based household projections, MHCLG 2011-based household projections</w:t>
            </w:r>
            <w:r>
              <w:rPr>
                <w:bCs/>
              </w:rPr>
              <w:t xml:space="preserve">, </w:t>
            </w:r>
            <w:r w:rsidR="00A90699">
              <w:rPr>
                <w:bCs/>
              </w:rPr>
              <w:t>Ipswich and Waveney SHMA Part 2 and Part 2 Partial Update</w:t>
            </w:r>
          </w:p>
        </w:tc>
        <w:tc>
          <w:tcPr>
            <w:tcW w:w="2977" w:type="dxa"/>
            <w:tcBorders>
              <w:top w:val="single" w:sz="4" w:space="0" w:color="7F7F7F"/>
              <w:left w:val="single" w:sz="4" w:space="0" w:color="7F7F7F"/>
              <w:bottom w:val="single" w:sz="4" w:space="0" w:color="7F7F7F"/>
              <w:right w:val="single" w:sz="4" w:space="0" w:color="7F7F7F"/>
            </w:tcBorders>
            <w:shd w:val="clear" w:color="auto" w:fill="auto"/>
          </w:tcPr>
          <w:p w14:paraId="34D63CE9" w14:textId="7F063E8E" w:rsidR="00465696" w:rsidRPr="00D56987" w:rsidRDefault="00465696" w:rsidP="00D56987">
            <w:pPr>
              <w:pStyle w:val="BodyText"/>
              <w:rPr>
                <w:bCs/>
              </w:rPr>
            </w:pPr>
            <w:r w:rsidRPr="00D56987">
              <w:rPr>
                <w:bCs/>
              </w:rPr>
              <w:t>Copdock and Washbrook, in line with the District, is dominated by family-sized dwellings (2-4 bedrooms). Household size tends to be larger than that of the wider District (average household size in the NA is 2.46 versus 2.34</w:t>
            </w:r>
            <w:r w:rsidR="0062161C">
              <w:rPr>
                <w:bCs/>
              </w:rPr>
              <w:t xml:space="preserve"> in Babergh)</w:t>
            </w:r>
          </w:p>
          <w:p w14:paraId="7A6F351B" w14:textId="1667769C" w:rsidR="00465696" w:rsidRPr="00D56987" w:rsidRDefault="00465696" w:rsidP="00D56987">
            <w:pPr>
              <w:pStyle w:val="BodyText"/>
              <w:rPr>
                <w:bCs/>
              </w:rPr>
            </w:pPr>
            <w:r w:rsidRPr="00D56987">
              <w:rPr>
                <w:bCs/>
              </w:rPr>
              <w:t xml:space="preserve">There has been a general increase in dwelling size over the inter-census period, particularly in terms of medium to large sized homes of 4+ rooms. </w:t>
            </w:r>
          </w:p>
          <w:p w14:paraId="2DBE2A16" w14:textId="2D9AC0C1" w:rsidR="00FB34E2" w:rsidRPr="00D56987" w:rsidRDefault="0062161C" w:rsidP="00FB34E2">
            <w:pPr>
              <w:pStyle w:val="BodyText"/>
              <w:rPr>
                <w:bCs/>
              </w:rPr>
            </w:pPr>
            <w:r>
              <w:rPr>
                <w:bCs/>
              </w:rPr>
              <w:t>E</w:t>
            </w:r>
            <w:r w:rsidR="00465696" w:rsidRPr="00D56987">
              <w:rPr>
                <w:bCs/>
              </w:rPr>
              <w:t xml:space="preserve">ven though AECOM is modelling future provision in the Parish and the SHMA across Babergh as a whole, the overall conclusions are similar in terms of demand for dwellings of three bedrooms and for lower levels of </w:t>
            </w:r>
            <w:r>
              <w:rPr>
                <w:bCs/>
              </w:rPr>
              <w:t>demand for larger dwellings</w:t>
            </w:r>
          </w:p>
        </w:tc>
        <w:tc>
          <w:tcPr>
            <w:tcW w:w="3838" w:type="dxa"/>
            <w:tcBorders>
              <w:top w:val="single" w:sz="4" w:space="0" w:color="7F7F7F"/>
              <w:left w:val="single" w:sz="4" w:space="0" w:color="7F7F7F"/>
              <w:bottom w:val="single" w:sz="4" w:space="0" w:color="7F7F7F"/>
              <w:right w:val="single" w:sz="4" w:space="0" w:color="7F7F7F"/>
            </w:tcBorders>
            <w:shd w:val="clear" w:color="auto" w:fill="auto"/>
          </w:tcPr>
          <w:p w14:paraId="09D29CC6" w14:textId="01D6E7C7" w:rsidR="00465696" w:rsidRPr="00D56987" w:rsidRDefault="0062161C" w:rsidP="00D56987">
            <w:pPr>
              <w:spacing w:after="180"/>
              <w:rPr>
                <w:bCs/>
              </w:rPr>
            </w:pPr>
            <w:r>
              <w:rPr>
                <w:bCs/>
              </w:rPr>
              <w:t>The</w:t>
            </w:r>
            <w:r w:rsidRPr="00D56987">
              <w:rPr>
                <w:bCs/>
              </w:rPr>
              <w:t xml:space="preserve"> housing type</w:t>
            </w:r>
            <w:r>
              <w:rPr>
                <w:bCs/>
              </w:rPr>
              <w:t xml:space="preserve"> considered</w:t>
            </w:r>
            <w:r w:rsidRPr="00D56987">
              <w:rPr>
                <w:bCs/>
              </w:rPr>
              <w:t xml:space="preserve"> </w:t>
            </w:r>
            <w:r w:rsidR="00465696" w:rsidRPr="00D56987">
              <w:rPr>
                <w:bCs/>
              </w:rPr>
              <w:t>most likely to meet local</w:t>
            </w:r>
            <w:r w:rsidRPr="00D56987">
              <w:rPr>
                <w:bCs/>
              </w:rPr>
              <w:t xml:space="preserve"> needs, based on </w:t>
            </w:r>
            <w:r w:rsidR="00465696" w:rsidRPr="00D56987">
              <w:rPr>
                <w:bCs/>
              </w:rPr>
              <w:t xml:space="preserve">current </w:t>
            </w:r>
            <w:r w:rsidRPr="00D56987">
              <w:rPr>
                <w:bCs/>
              </w:rPr>
              <w:t xml:space="preserve">stock as well as </w:t>
            </w:r>
            <w:r w:rsidR="00465696" w:rsidRPr="00D56987">
              <w:rPr>
                <w:bCs/>
              </w:rPr>
              <w:t xml:space="preserve">local context, </w:t>
            </w:r>
            <w:r>
              <w:rPr>
                <w:bCs/>
              </w:rPr>
              <w:t>is</w:t>
            </w:r>
            <w:r w:rsidRPr="00D56987">
              <w:rPr>
                <w:bCs/>
              </w:rPr>
              <w:t xml:space="preserve"> detached</w:t>
            </w:r>
            <w:r w:rsidR="00465696" w:rsidRPr="00D56987">
              <w:rPr>
                <w:bCs/>
              </w:rPr>
              <w:t xml:space="preserve">. Additionally, bungalows appeal to an ageing population and there is therefore potential for this particular type to be promoted so as to meet </w:t>
            </w:r>
            <w:r w:rsidRPr="00D56987">
              <w:rPr>
                <w:bCs/>
              </w:rPr>
              <w:t>future demand</w:t>
            </w:r>
          </w:p>
          <w:p w14:paraId="3B08F8C3" w14:textId="5EA7AEEE" w:rsidR="0062161C" w:rsidRPr="00677A46" w:rsidRDefault="0062161C">
            <w:pPr>
              <w:pStyle w:val="BodyText"/>
              <w:rPr>
                <w:bCs/>
              </w:rPr>
            </w:pPr>
            <w:r w:rsidRPr="00677A46">
              <w:rPr>
                <w:bCs/>
              </w:rPr>
              <w:t xml:space="preserve">On the basis of forward population projections, and allowing for the existing stock, the </w:t>
            </w:r>
            <w:r w:rsidR="0056784D">
              <w:rPr>
                <w:bCs/>
              </w:rPr>
              <w:t xml:space="preserve">ideal size split over the NP period would be </w:t>
            </w:r>
            <w:r w:rsidRPr="00677A46">
              <w:rPr>
                <w:bCs/>
              </w:rPr>
              <w:t>19% of hous</w:t>
            </w:r>
            <w:r>
              <w:rPr>
                <w:bCs/>
              </w:rPr>
              <w:t>es as</w:t>
            </w:r>
            <w:r w:rsidRPr="00677A46">
              <w:rPr>
                <w:bCs/>
              </w:rPr>
              <w:t xml:space="preserve"> one-bedroom homes, 14% two-bedroom, 52% three-bedroom and 17% 4-bedroom</w:t>
            </w:r>
            <w:r>
              <w:rPr>
                <w:bCs/>
              </w:rPr>
              <w:t xml:space="preserve">. </w:t>
            </w:r>
            <w:r w:rsidR="0056784D">
              <w:rPr>
                <w:bCs/>
              </w:rPr>
              <w:t>T</w:t>
            </w:r>
            <w:r w:rsidRPr="00677A46">
              <w:rPr>
                <w:bCs/>
              </w:rPr>
              <w:t>here is no further requirement during the Neighbourhood Plan period for dwellings of five bedrooms or more;</w:t>
            </w:r>
          </w:p>
          <w:p w14:paraId="0F08676A" w14:textId="640B7373" w:rsidR="00FB34E2" w:rsidRPr="00B90B1C" w:rsidRDefault="0062161C">
            <w:pPr>
              <w:pStyle w:val="BodyText"/>
            </w:pPr>
            <w:r>
              <w:rPr>
                <w:bCs/>
              </w:rPr>
              <w:t>Providing</w:t>
            </w:r>
            <w:r w:rsidRPr="00677A46">
              <w:rPr>
                <w:bCs/>
              </w:rPr>
              <w:t xml:space="preserve"> smaller</w:t>
            </w:r>
            <w:r>
              <w:rPr>
                <w:bCs/>
              </w:rPr>
              <w:t xml:space="preserve"> dwellings will </w:t>
            </w:r>
            <w:r w:rsidRPr="00677A46">
              <w:rPr>
                <w:bCs/>
              </w:rPr>
              <w:t xml:space="preserve">have an important role to play in terms of catering for the growing older population. They have the potential to allow older households to </w:t>
            </w:r>
            <w:r>
              <w:rPr>
                <w:bCs/>
              </w:rPr>
              <w:t xml:space="preserve">downsize and </w:t>
            </w:r>
            <w:r w:rsidRPr="00677A46">
              <w:rPr>
                <w:bCs/>
              </w:rPr>
              <w:t>to be more affordable to younger households.</w:t>
            </w:r>
          </w:p>
        </w:tc>
      </w:tr>
      <w:bookmarkEnd w:id="141"/>
    </w:tbl>
    <w:p w14:paraId="0E4AEA3B" w14:textId="77777777" w:rsidR="00EC0ED4" w:rsidRDefault="00EC0ED4" w:rsidP="00EC0ED4">
      <w:pPr>
        <w:pStyle w:val="BodyText"/>
        <w:rPr>
          <w:b/>
          <w:lang w:val="en-US"/>
        </w:rPr>
      </w:pPr>
    </w:p>
    <w:p w14:paraId="399CAC7B" w14:textId="5B378438" w:rsidR="00E80CC8" w:rsidRPr="00B90B1C" w:rsidRDefault="00E80CC8" w:rsidP="00EC0ED4">
      <w:pPr>
        <w:pStyle w:val="Heading2"/>
        <w:rPr>
          <w:lang w:val="en-US"/>
        </w:rPr>
      </w:pPr>
      <w:bookmarkStart w:id="143" w:name="_Toc7789760"/>
      <w:r w:rsidRPr="00B90B1C">
        <w:rPr>
          <w:lang w:val="en-US"/>
        </w:rPr>
        <w:t>Recommendations for next steps</w:t>
      </w:r>
      <w:bookmarkEnd w:id="136"/>
      <w:bookmarkEnd w:id="137"/>
      <w:bookmarkEnd w:id="143"/>
    </w:p>
    <w:p w14:paraId="24591313" w14:textId="1699AFCD" w:rsidR="00EC1DCF" w:rsidRDefault="00EC1DCF" w:rsidP="00886112">
      <w:pPr>
        <w:pStyle w:val="ListNumber"/>
      </w:pPr>
      <w:r w:rsidRPr="00E80CC8">
        <w:t xml:space="preserve">This neighbourhood plan housing needs advice has aimed to provide </w:t>
      </w:r>
      <w:r w:rsidR="00F00F27">
        <w:t>CWPC</w:t>
      </w:r>
      <w:r w:rsidRPr="00E80CC8">
        <w:t xml:space="preserve"> with evidence on housing trends from a range of sources. We recommend that the parish should, as a next step, discuss the contents and conclusions with </w:t>
      </w:r>
      <w:r w:rsidR="00F00F27" w:rsidRPr="00F00F27">
        <w:t>BDC</w:t>
      </w:r>
      <w:r w:rsidRPr="00F00F27">
        <w:t xml:space="preserve"> with </w:t>
      </w:r>
      <w:r w:rsidRPr="00E80CC8">
        <w:t>a view to agreeing and formulating draft housing policies, in particular the appropriate approach to identifying the level of need for new housing in the NP area, bearing the following in mind:</w:t>
      </w:r>
    </w:p>
    <w:p w14:paraId="083D82D1" w14:textId="2F0AC070" w:rsidR="00EC1DCF" w:rsidRPr="000B75FC" w:rsidRDefault="00EC1DCF" w:rsidP="00FB34E2">
      <w:pPr>
        <w:pStyle w:val="ListNumber"/>
        <w:numPr>
          <w:ilvl w:val="0"/>
          <w:numId w:val="28"/>
        </w:numPr>
      </w:pPr>
      <w:r w:rsidRPr="000B75FC">
        <w:t xml:space="preserve">Neighbourhood Planning Basic Condition </w:t>
      </w:r>
      <w:r>
        <w:t xml:space="preserve">A, that </w:t>
      </w:r>
      <w:r w:rsidR="0056784D">
        <w:t>the Neighbourhood Plan</w:t>
      </w:r>
      <w:r>
        <w:t xml:space="preserve"> has regard to </w:t>
      </w:r>
      <w:r w:rsidRPr="00E87A2B">
        <w:t>national policies and advice contained in guidance issued by the Secretary of State</w:t>
      </w:r>
      <w:r>
        <w:t xml:space="preserve">; Condition D, that the </w:t>
      </w:r>
      <w:r w:rsidRPr="00E87A2B">
        <w:t xml:space="preserve">making of the </w:t>
      </w:r>
      <w:r w:rsidR="0056784D">
        <w:t>P</w:t>
      </w:r>
      <w:r>
        <w:t>lan</w:t>
      </w:r>
      <w:r w:rsidRPr="00E87A2B">
        <w:t xml:space="preserve"> contributes to the achievement of sustainable development</w:t>
      </w:r>
      <w:r>
        <w:t>;</w:t>
      </w:r>
      <w:r w:rsidRPr="00E87A2B">
        <w:t xml:space="preserve"> </w:t>
      </w:r>
      <w:r>
        <w:t xml:space="preserve">and Condition </w:t>
      </w:r>
      <w:r w:rsidRPr="000B75FC">
        <w:t xml:space="preserve">E, which is the need for the </w:t>
      </w:r>
      <w:r w:rsidR="0056784D">
        <w:t>P</w:t>
      </w:r>
      <w:r w:rsidRPr="000B75FC">
        <w:t>lan to be in general conformity with the adopted strategic development plan</w:t>
      </w:r>
      <w:r>
        <w:t>;</w:t>
      </w:r>
    </w:p>
    <w:p w14:paraId="3AD04745" w14:textId="3EE1B2F8" w:rsidR="00EC1DCF" w:rsidRPr="00E80CC8" w:rsidRDefault="00EC1DCF" w:rsidP="00FB34E2">
      <w:pPr>
        <w:pStyle w:val="ListBullet"/>
        <w:numPr>
          <w:ilvl w:val="0"/>
          <w:numId w:val="28"/>
        </w:numPr>
      </w:pPr>
      <w:r w:rsidRPr="00E80CC8">
        <w:t>the views of</w:t>
      </w:r>
      <w:r w:rsidRPr="00EC1DCF">
        <w:rPr>
          <w:color w:val="FF0000"/>
        </w:rPr>
        <w:t xml:space="preserve"> </w:t>
      </w:r>
      <w:r w:rsidR="00F00F27" w:rsidRPr="00F00F27">
        <w:t>Babergh District</w:t>
      </w:r>
      <w:r w:rsidRPr="00F00F27">
        <w:t xml:space="preserve"> </w:t>
      </w:r>
      <w:r w:rsidRPr="00E80CC8">
        <w:t>– in particular in relation to the housing need figure that should be adopted;</w:t>
      </w:r>
    </w:p>
    <w:p w14:paraId="634AF682" w14:textId="77777777" w:rsidR="00EC1DCF" w:rsidRPr="00E80CC8" w:rsidRDefault="00EC1DCF" w:rsidP="00FB34E2">
      <w:pPr>
        <w:pStyle w:val="ListBullet"/>
        <w:numPr>
          <w:ilvl w:val="0"/>
          <w:numId w:val="28"/>
        </w:numPr>
      </w:pPr>
      <w:r w:rsidRPr="00E80CC8">
        <w:t>the views of local residents;</w:t>
      </w:r>
    </w:p>
    <w:p w14:paraId="4DDFCE44" w14:textId="4A8564A0" w:rsidR="00EC1DCF" w:rsidRPr="00E80CC8" w:rsidRDefault="00EC1DCF" w:rsidP="00FB34E2">
      <w:pPr>
        <w:pStyle w:val="ListBullet"/>
        <w:numPr>
          <w:ilvl w:val="0"/>
          <w:numId w:val="28"/>
        </w:numPr>
      </w:pPr>
      <w:r w:rsidRPr="00E80CC8">
        <w:t>the views of other relevant local stakeholders, including housing developers;</w:t>
      </w:r>
    </w:p>
    <w:p w14:paraId="1DF8D5E8" w14:textId="717567D8" w:rsidR="00EC1DCF" w:rsidRPr="00E80CC8" w:rsidRDefault="00EC1DCF" w:rsidP="00FB34E2">
      <w:pPr>
        <w:pStyle w:val="ListBullet"/>
        <w:numPr>
          <w:ilvl w:val="0"/>
          <w:numId w:val="28"/>
        </w:numPr>
      </w:pPr>
      <w:r w:rsidRPr="00E80CC8">
        <w:t xml:space="preserve">the numerous supply-side considerations, including local environmental constraints, the location and characteristics of suitable land, and any capacity work carried out by </w:t>
      </w:r>
      <w:r w:rsidR="00F00F27">
        <w:t>BDC</w:t>
      </w:r>
      <w:r w:rsidRPr="00E80CC8">
        <w:t>, including but not limited to the SHLAA</w:t>
      </w:r>
      <w:r w:rsidR="0056784D">
        <w:t>;</w:t>
      </w:r>
    </w:p>
    <w:p w14:paraId="6E32D888" w14:textId="77777777" w:rsidR="00EC1DCF" w:rsidRDefault="00EC1DCF" w:rsidP="00FB34E2">
      <w:pPr>
        <w:pStyle w:val="ListBullet"/>
        <w:numPr>
          <w:ilvl w:val="0"/>
          <w:numId w:val="28"/>
        </w:numPr>
      </w:pPr>
      <w:r w:rsidRPr="00E80CC8">
        <w:t>the recommendat</w:t>
      </w:r>
      <w:r>
        <w:t>ions and findings of this study; and</w:t>
      </w:r>
    </w:p>
    <w:p w14:paraId="2FA9BC8A" w14:textId="07B928D0" w:rsidR="00EC1DCF" w:rsidRPr="00E80CC8" w:rsidRDefault="00EC1DCF" w:rsidP="00FB34E2">
      <w:pPr>
        <w:pStyle w:val="ListBullet"/>
        <w:numPr>
          <w:ilvl w:val="0"/>
          <w:numId w:val="28"/>
        </w:numPr>
      </w:pPr>
      <w:r>
        <w:t>The impact of the new Government proposed standard methodology</w:t>
      </w:r>
      <w:r w:rsidR="0056784D">
        <w:t>, as has been discussed above,</w:t>
      </w:r>
      <w:r>
        <w:t xml:space="preserve"> on calculating housing need </w:t>
      </w:r>
      <w:r w:rsidR="0056784D">
        <w:t>across</w:t>
      </w:r>
      <w:r>
        <w:t xml:space="preserve"> the </w:t>
      </w:r>
      <w:r w:rsidR="0056784D">
        <w:t>D</w:t>
      </w:r>
      <w:r>
        <w:t>istrict and its neighbourhood</w:t>
      </w:r>
      <w:r w:rsidR="0056784D">
        <w:t xml:space="preserve"> plan</w:t>
      </w:r>
      <w:r>
        <w:t>s.</w:t>
      </w:r>
    </w:p>
    <w:p w14:paraId="65ECC971" w14:textId="655F65FD" w:rsidR="005508EA" w:rsidRPr="00284BD9" w:rsidRDefault="0056784D" w:rsidP="005508EA">
      <w:pPr>
        <w:pStyle w:val="ListNumber"/>
        <w:widowControl w:val="0"/>
        <w:jc w:val="both"/>
        <w:rPr>
          <w:lang w:val="en-GB"/>
        </w:rPr>
      </w:pPr>
      <w:r>
        <w:rPr>
          <w:lang w:val="en-GB"/>
        </w:rPr>
        <w:t>C</w:t>
      </w:r>
      <w:r w:rsidR="005508EA" w:rsidRPr="00284BD9">
        <w:rPr>
          <w:lang w:val="en-GB"/>
        </w:rPr>
        <w:t>hanges to the planning system will continue to affect housing policies at a local authority and, by extension, a neighbourhood level.</w:t>
      </w:r>
    </w:p>
    <w:p w14:paraId="47F8F467" w14:textId="77777777" w:rsidR="005508EA" w:rsidRPr="00284BD9" w:rsidRDefault="005508EA" w:rsidP="005508EA">
      <w:pPr>
        <w:pStyle w:val="ListNumber"/>
        <w:widowControl w:val="0"/>
        <w:jc w:val="both"/>
        <w:rPr>
          <w:lang w:val="en-GB"/>
        </w:rPr>
      </w:pPr>
      <w:r w:rsidRPr="00284BD9">
        <w:rPr>
          <w:lang w:val="en-GB"/>
        </w:rPr>
        <w:t>This advice note has been provided in good faith by AECOM consultants on the basis of housing data and national guidance current at the time of writing (alongside other relevant and available information).</w:t>
      </w:r>
    </w:p>
    <w:p w14:paraId="34C4F307" w14:textId="3F20ACB2" w:rsidR="005508EA" w:rsidRPr="00284BD9" w:rsidRDefault="005508EA" w:rsidP="005508EA">
      <w:pPr>
        <w:pStyle w:val="ListNumber"/>
        <w:widowControl w:val="0"/>
        <w:jc w:val="both"/>
        <w:rPr>
          <w:lang w:val="en-GB"/>
        </w:rPr>
      </w:pPr>
      <w:r w:rsidRPr="00284BD9">
        <w:rPr>
          <w:lang w:val="en-GB"/>
        </w:rPr>
        <w:t xml:space="preserve">Bearing this in mind, we recommend that </w:t>
      </w:r>
      <w:r w:rsidR="0056784D">
        <w:rPr>
          <w:lang w:val="en-GB"/>
        </w:rPr>
        <w:t xml:space="preserve">the Parish </w:t>
      </w:r>
      <w:r>
        <w:rPr>
          <w:lang w:val="en-GB"/>
        </w:rPr>
        <w:t>C</w:t>
      </w:r>
      <w:r w:rsidR="0056784D">
        <w:rPr>
          <w:lang w:val="en-GB"/>
        </w:rPr>
        <w:t>ouncil</w:t>
      </w:r>
      <w:r w:rsidRPr="00284BD9">
        <w:rPr>
          <w:lang w:val="en-GB"/>
        </w:rPr>
        <w:t xml:space="preserve"> should monitor carefully strategies and documents with an impact on housing policy produced by </w:t>
      </w:r>
      <w:r w:rsidR="0056784D">
        <w:rPr>
          <w:lang w:val="en-GB"/>
        </w:rPr>
        <w:t>BDC</w:t>
      </w:r>
      <w:r w:rsidRPr="00284BD9">
        <w:rPr>
          <w:lang w:val="en-GB"/>
        </w:rPr>
        <w:t xml:space="preserve"> or any other relevant body and review the </w:t>
      </w:r>
      <w:r w:rsidR="0056784D">
        <w:rPr>
          <w:lang w:val="en-GB"/>
        </w:rPr>
        <w:t>N</w:t>
      </w:r>
      <w:r w:rsidRPr="00284BD9">
        <w:rPr>
          <w:lang w:val="en-GB"/>
        </w:rPr>
        <w:t xml:space="preserve">eighbourhood </w:t>
      </w:r>
      <w:r w:rsidR="0056784D">
        <w:rPr>
          <w:lang w:val="en-GB"/>
        </w:rPr>
        <w:t>P</w:t>
      </w:r>
      <w:r w:rsidRPr="00284BD9">
        <w:rPr>
          <w:lang w:val="en-GB"/>
        </w:rPr>
        <w:t xml:space="preserve">lan accordingly to ensure that general conformity is maintained. </w:t>
      </w:r>
    </w:p>
    <w:p w14:paraId="02AC24B2" w14:textId="5AEBB60F" w:rsidR="005508EA" w:rsidRPr="00C6198C" w:rsidRDefault="005508EA" w:rsidP="005508EA">
      <w:pPr>
        <w:pStyle w:val="ListNumber"/>
        <w:widowControl w:val="0"/>
        <w:jc w:val="both"/>
        <w:rPr>
          <w:lang w:val="en-GB"/>
        </w:rPr>
      </w:pPr>
      <w:r w:rsidRPr="00284BD9">
        <w:rPr>
          <w:lang w:val="en-GB"/>
        </w:rPr>
        <w:t xml:space="preserve">At the same time, monitoring on-going demographic or other trends over the period in which the neighbourhood plan is being developed </w:t>
      </w:r>
      <w:r w:rsidR="0056784D">
        <w:rPr>
          <w:lang w:val="en-GB"/>
        </w:rPr>
        <w:t>will</w:t>
      </w:r>
      <w:r w:rsidRPr="00284BD9">
        <w:rPr>
          <w:lang w:val="en-GB"/>
        </w:rPr>
        <w:t xml:space="preserve"> help ensure </w:t>
      </w:r>
      <w:r>
        <w:rPr>
          <w:lang w:val="en-GB"/>
        </w:rPr>
        <w:t xml:space="preserve">the </w:t>
      </w:r>
      <w:r w:rsidR="0056784D">
        <w:rPr>
          <w:lang w:val="en-GB"/>
        </w:rPr>
        <w:t xml:space="preserve">continued </w:t>
      </w:r>
      <w:r w:rsidRPr="00284BD9">
        <w:rPr>
          <w:lang w:val="en-GB"/>
        </w:rPr>
        <w:t>relevance and credibility of its policies.</w:t>
      </w:r>
    </w:p>
    <w:p w14:paraId="031354F1" w14:textId="77777777" w:rsidR="00654CBD" w:rsidRDefault="00654CBD" w:rsidP="00886112">
      <w:pPr>
        <w:pStyle w:val="ListNumber"/>
        <w:numPr>
          <w:ilvl w:val="0"/>
          <w:numId w:val="0"/>
        </w:numPr>
        <w:ind w:left="425"/>
      </w:pPr>
    </w:p>
    <w:p w14:paraId="641FE5B6" w14:textId="77777777" w:rsidR="00A247EF" w:rsidRDefault="00A247EF" w:rsidP="004F6A79">
      <w:pPr>
        <w:pStyle w:val="BodyText"/>
      </w:pPr>
    </w:p>
    <w:p w14:paraId="1A33B791" w14:textId="77777777" w:rsidR="005508EA" w:rsidRDefault="005508EA" w:rsidP="004F6A79">
      <w:pPr>
        <w:pStyle w:val="BodyText"/>
      </w:pPr>
    </w:p>
    <w:p w14:paraId="5565AE7C" w14:textId="77777777" w:rsidR="005508EA" w:rsidRDefault="005508EA" w:rsidP="004F6A79">
      <w:pPr>
        <w:pStyle w:val="BodyText"/>
      </w:pPr>
    </w:p>
    <w:p w14:paraId="0A39C4A7" w14:textId="77777777" w:rsidR="005508EA" w:rsidRDefault="005508EA" w:rsidP="004F6A79">
      <w:pPr>
        <w:pStyle w:val="BodyText"/>
      </w:pPr>
    </w:p>
    <w:p w14:paraId="62DF4626" w14:textId="77777777" w:rsidR="005508EA" w:rsidRDefault="005508EA" w:rsidP="004F6A79">
      <w:pPr>
        <w:pStyle w:val="BodyText"/>
      </w:pPr>
    </w:p>
    <w:p w14:paraId="680C2C3C" w14:textId="77777777" w:rsidR="005508EA" w:rsidRDefault="005508EA" w:rsidP="004F6A79">
      <w:pPr>
        <w:pStyle w:val="BodyText"/>
      </w:pPr>
    </w:p>
    <w:p w14:paraId="7103E29C" w14:textId="77777777" w:rsidR="005508EA" w:rsidRDefault="005508EA" w:rsidP="004F6A79">
      <w:pPr>
        <w:pStyle w:val="BodyText"/>
      </w:pPr>
    </w:p>
    <w:p w14:paraId="2FAC94F5" w14:textId="77777777" w:rsidR="005508EA" w:rsidRDefault="005508EA" w:rsidP="004F6A79">
      <w:pPr>
        <w:pStyle w:val="BodyText"/>
      </w:pPr>
    </w:p>
    <w:p w14:paraId="7028FB02" w14:textId="77777777" w:rsidR="005508EA" w:rsidRDefault="005508EA" w:rsidP="004F6A79">
      <w:pPr>
        <w:pStyle w:val="BodyText"/>
      </w:pPr>
    </w:p>
    <w:p w14:paraId="64EAE094" w14:textId="77777777" w:rsidR="005508EA" w:rsidRDefault="005508EA" w:rsidP="004F6A79">
      <w:pPr>
        <w:pStyle w:val="BodyText"/>
      </w:pPr>
    </w:p>
    <w:p w14:paraId="52EEB615" w14:textId="77777777" w:rsidR="005508EA" w:rsidRDefault="005508EA" w:rsidP="004F6A79">
      <w:pPr>
        <w:pStyle w:val="BodyText"/>
      </w:pPr>
    </w:p>
    <w:p w14:paraId="61818740" w14:textId="77777777" w:rsidR="005508EA" w:rsidRDefault="005508EA" w:rsidP="004F6A79">
      <w:pPr>
        <w:pStyle w:val="BodyText"/>
      </w:pPr>
    </w:p>
    <w:p w14:paraId="02B9F8C3" w14:textId="77777777" w:rsidR="005508EA" w:rsidRDefault="005508EA" w:rsidP="004F6A79">
      <w:pPr>
        <w:pStyle w:val="BodyText"/>
      </w:pPr>
    </w:p>
    <w:p w14:paraId="0ABE5D74" w14:textId="77777777" w:rsidR="004F6699" w:rsidRDefault="004F6699">
      <w:pPr>
        <w:tabs>
          <w:tab w:val="clear" w:pos="284"/>
        </w:tabs>
        <w:spacing w:line="240" w:lineRule="auto"/>
        <w:rPr>
          <w:rFonts w:asciiTheme="majorHAnsi" w:eastAsiaTheme="majorEastAsia" w:hAnsiTheme="majorHAnsi" w:cstheme="majorBidi"/>
          <w:b/>
          <w:bCs/>
          <w:color w:val="00B5E2" w:themeColor="accent1"/>
          <w:sz w:val="30"/>
          <w:szCs w:val="28"/>
        </w:rPr>
      </w:pPr>
      <w:r>
        <w:lastRenderedPageBreak/>
        <w:br w:type="page"/>
      </w:r>
    </w:p>
    <w:p w14:paraId="08D0893F" w14:textId="1E5DACE4" w:rsidR="005508EA" w:rsidRPr="00284BD9" w:rsidRDefault="005508EA" w:rsidP="005508EA">
      <w:pPr>
        <w:pStyle w:val="Appendix"/>
        <w:keepNext w:val="0"/>
        <w:keepLines w:val="0"/>
        <w:pageBreakBefore w:val="0"/>
        <w:widowControl w:val="0"/>
        <w:jc w:val="both"/>
      </w:pPr>
      <w:bookmarkStart w:id="144" w:name="_Toc7789761"/>
      <w:r>
        <w:lastRenderedPageBreak/>
        <w:t xml:space="preserve">: </w:t>
      </w:r>
      <w:r w:rsidRPr="00284BD9">
        <w:t>Housing Needs Assessment Glossary</w:t>
      </w:r>
      <w:bookmarkEnd w:id="144"/>
    </w:p>
    <w:p w14:paraId="64BBE5D7" w14:textId="77777777" w:rsidR="0056784D" w:rsidRPr="00EF2490" w:rsidRDefault="0056784D" w:rsidP="0056784D">
      <w:pPr>
        <w:pStyle w:val="BodyText"/>
        <w:jc w:val="both"/>
        <w:rPr>
          <w:b/>
          <w:lang w:val="en"/>
        </w:rPr>
      </w:pPr>
      <w:r w:rsidRPr="00EF2490">
        <w:rPr>
          <w:b/>
          <w:lang w:val="en"/>
        </w:rPr>
        <w:t>Adoption</w:t>
      </w:r>
    </w:p>
    <w:p w14:paraId="176D444C" w14:textId="77777777" w:rsidR="0056784D" w:rsidRDefault="0056784D" w:rsidP="0056784D">
      <w:pPr>
        <w:pStyle w:val="BodyText"/>
        <w:jc w:val="both"/>
        <w:rPr>
          <w:lang w:val="en"/>
        </w:rPr>
      </w:pPr>
      <w:r w:rsidRPr="00B35544">
        <w:rPr>
          <w:lang w:val="en"/>
        </w:rPr>
        <w:t>The final confirmation of a local plan by a local planning authority.</w:t>
      </w:r>
    </w:p>
    <w:p w14:paraId="55E1CD42" w14:textId="77777777" w:rsidR="0056784D" w:rsidRPr="00EF2490" w:rsidRDefault="0056784D" w:rsidP="0056784D">
      <w:pPr>
        <w:pStyle w:val="BodyText"/>
        <w:jc w:val="both"/>
        <w:rPr>
          <w:b/>
          <w:lang w:val="en"/>
        </w:rPr>
      </w:pPr>
      <w:r w:rsidRPr="00EF2490">
        <w:rPr>
          <w:b/>
          <w:lang w:val="en"/>
        </w:rPr>
        <w:t>Affordability</w:t>
      </w:r>
      <w:r w:rsidRPr="00EF2490">
        <w:rPr>
          <w:rStyle w:val="FootnoteReference"/>
          <w:rFonts w:cs="Arial"/>
          <w:b/>
          <w:lang w:val="en"/>
        </w:rPr>
        <w:footnoteReference w:id="21"/>
      </w:r>
    </w:p>
    <w:p w14:paraId="528C38EA" w14:textId="77777777" w:rsidR="0056784D" w:rsidRPr="00B35544" w:rsidRDefault="0056784D" w:rsidP="0056784D">
      <w:pPr>
        <w:pStyle w:val="BodyText"/>
        <w:jc w:val="both"/>
        <w:rPr>
          <w:lang w:val="en"/>
        </w:rPr>
      </w:pPr>
      <w:r w:rsidRPr="00F56E61">
        <w:rPr>
          <w:lang w:val="en"/>
        </w:rPr>
        <w:t>The terms ‘affordability’ and ‘affordable hous</w:t>
      </w:r>
      <w:r>
        <w:rPr>
          <w:lang w:val="en"/>
        </w:rPr>
        <w:t xml:space="preserve">ing’ have different meanings. </w:t>
      </w:r>
      <w:r w:rsidRPr="00F56E61">
        <w:rPr>
          <w:lang w:val="en"/>
        </w:rPr>
        <w:t xml:space="preserve">‘Affordability’ is a measure of whether housing may be afforded by certain groups of households. ‘Affordable housing’ refers to particular products outside the main housing market. </w:t>
      </w:r>
    </w:p>
    <w:p w14:paraId="68703DF9" w14:textId="77777777" w:rsidR="0056784D" w:rsidRPr="00EF2490" w:rsidRDefault="0056784D" w:rsidP="0056784D">
      <w:pPr>
        <w:pStyle w:val="BodyText"/>
        <w:jc w:val="both"/>
        <w:rPr>
          <w:b/>
          <w:color w:val="4A4A49"/>
        </w:rPr>
      </w:pPr>
      <w:r w:rsidRPr="00EF2490">
        <w:rPr>
          <w:b/>
        </w:rPr>
        <w:t>Affordability Ratio</w:t>
      </w:r>
    </w:p>
    <w:p w14:paraId="350678E9" w14:textId="77777777" w:rsidR="0056784D" w:rsidRPr="00B35544" w:rsidRDefault="0056784D" w:rsidP="0056784D">
      <w:pPr>
        <w:pStyle w:val="BodyText"/>
        <w:jc w:val="both"/>
      </w:pPr>
      <w:r w:rsidRPr="00B35544">
        <w:rPr>
          <w:lang w:val="en"/>
        </w:rPr>
        <w:t>Assessing affordability involves comparing house costs against the ability to pay. The ratio between lower quartile house prices and the lower quartile income or earnings can be used to assess the relative affordability of housing. The Ministry for Housing, Community and Local Governments publishes quarterly the ratio of lower quartile house price to lower quart</w:t>
      </w:r>
      <w:r>
        <w:rPr>
          <w:lang w:val="en"/>
        </w:rPr>
        <w:t>ile earnings by local authority</w:t>
      </w:r>
      <w:r w:rsidRPr="00B35544">
        <w:rPr>
          <w:lang w:val="en"/>
        </w:rPr>
        <w:t xml:space="preserve"> (LQAR) as well as median house price to median earnings by</w:t>
      </w:r>
      <w:r>
        <w:rPr>
          <w:lang w:val="en"/>
        </w:rPr>
        <w:t xml:space="preserve"> local authority (MAR) </w:t>
      </w:r>
      <w:r w:rsidRPr="00F56E61">
        <w:rPr>
          <w:lang w:val="en"/>
        </w:rPr>
        <w:t>e.g. income = £25,000, house price = £200,000.   House price: income ratio = £200,000/£25,000 = 8, (the house price is 8 times income).</w:t>
      </w:r>
    </w:p>
    <w:p w14:paraId="54595B5C" w14:textId="77777777" w:rsidR="0056784D" w:rsidRPr="00EF2490" w:rsidRDefault="0056784D" w:rsidP="0056784D">
      <w:pPr>
        <w:pStyle w:val="BodyText"/>
        <w:jc w:val="both"/>
        <w:rPr>
          <w:b/>
        </w:rPr>
      </w:pPr>
      <w:r w:rsidRPr="00EF2490">
        <w:rPr>
          <w:b/>
        </w:rPr>
        <w:t>Affordable Housing (NPPF Definition)/Intermediate Housing</w:t>
      </w:r>
      <w:r w:rsidRPr="00EF2490">
        <w:rPr>
          <w:rStyle w:val="FootnoteReference"/>
          <w:rFonts w:cs="Arial"/>
          <w:b/>
        </w:rPr>
        <w:footnoteReference w:id="22"/>
      </w:r>
    </w:p>
    <w:p w14:paraId="0312B4AA" w14:textId="77777777" w:rsidR="0056784D" w:rsidRDefault="0056784D" w:rsidP="0056784D">
      <w:pPr>
        <w:pStyle w:val="BodyText"/>
        <w:jc w:val="both"/>
        <w:rPr>
          <w:lang w:val="en"/>
        </w:rPr>
      </w:pPr>
      <w:r w:rsidRPr="00D74287">
        <w:rPr>
          <w:lang w:val="en"/>
        </w:rPr>
        <w:t>Social rented, affordable rented and intermediate housing, provided to eligible households whose needs are not met by the market. Eligibility is determined with regard to local incomes and local house prices. Affordable housing should include provisions to remain at an affordable price for future eligible households or for the subsidy to be recycled for alternative affordable housing provision. Social rented housing is owned by local authorities and private registered providers (as defined in section 80 of the Housing and Regeneration Act 2008), for which guideline target rents are determined through the national rent regime. It may also be owned by other persons and provided under equivalent rental arrangements to the above, as agreed with the local authority or with Homes England. Affordable rented housing is let by local authorities or private registered providers of social housing to households who are eligible for social rented housing. Affordable Rent is subject to rent controls that require a rent of no more than 80% of the local market rent (including service charges, where applicable). Intermediate housing is homes for sale and rent provided at a cost above social rent, but below market levels subject to the criteria in the Affordable Housing definition above. These can include shared equity (shared ownership and equity loans), other low cost homes for sale and intermediate rent, but not affordable rented housing. Homes that do not meet the above definition of affordable housing, such as “low cost market” housing, may not be considered as affordable housing for planning purposes.</w:t>
      </w:r>
    </w:p>
    <w:p w14:paraId="7FA981DF" w14:textId="77777777" w:rsidR="0056784D" w:rsidRPr="00EF2490" w:rsidRDefault="0056784D" w:rsidP="0056784D">
      <w:pPr>
        <w:pStyle w:val="BodyText"/>
        <w:jc w:val="both"/>
        <w:rPr>
          <w:b/>
          <w:lang w:val="en"/>
        </w:rPr>
      </w:pPr>
      <w:r w:rsidRPr="00EF2490">
        <w:rPr>
          <w:b/>
          <w:lang w:val="en"/>
        </w:rPr>
        <w:t>Affordable rented housing</w:t>
      </w:r>
    </w:p>
    <w:p w14:paraId="24E836FC" w14:textId="77777777" w:rsidR="0056784D" w:rsidRPr="00D74287" w:rsidRDefault="0056784D" w:rsidP="0056784D">
      <w:pPr>
        <w:pStyle w:val="BodyText"/>
        <w:jc w:val="both"/>
        <w:rPr>
          <w:lang w:val="en"/>
        </w:rPr>
      </w:pPr>
      <w:r w:rsidRPr="00F56E61">
        <w:rPr>
          <w:lang w:val="en"/>
        </w:rPr>
        <w:t>Rented housing let by registered providers of social housing to households who are eligible for social rented housing. Affordable Rent is not subjec</w:t>
      </w:r>
      <w:r>
        <w:rPr>
          <w:lang w:val="en"/>
        </w:rPr>
        <w:t xml:space="preserve">t to the national rent regime </w:t>
      </w:r>
      <w:r w:rsidRPr="00F56E61">
        <w:rPr>
          <w:lang w:val="en"/>
        </w:rPr>
        <w:t>but is subject to other rent controls that require a rent of no more than 80% of the local market rent (Including service c</w:t>
      </w:r>
      <w:r>
        <w:rPr>
          <w:lang w:val="en"/>
        </w:rPr>
        <w:t>harges, where applicable).</w:t>
      </w:r>
      <w:r w:rsidRPr="00F56E61">
        <w:rPr>
          <w:lang w:val="en"/>
        </w:rPr>
        <w:t>The national rent regime is the regime under which the social rents of tenants of social housing are set, with particular reference to the Guide to Social Rent Reforms (March 2001) and the Rent Influencing Reg</w:t>
      </w:r>
      <w:r>
        <w:rPr>
          <w:lang w:val="en"/>
        </w:rPr>
        <w:t>ime Guidance (October 2001).</w:t>
      </w:r>
      <w:r w:rsidRPr="00F56E61">
        <w:rPr>
          <w:lang w:val="en"/>
        </w:rPr>
        <w:t xml:space="preserve"> Local market rents are calculated using the Royal Institution for Chartered Surveyors (RICS) approved valuation methods. The Tenant Services Authority has issued an explanatory note on these at http://www.communities.gov.uk/documents/planningandbuilding/pdf/1918430.pdf</w:t>
      </w:r>
    </w:p>
    <w:p w14:paraId="7B922C66" w14:textId="77777777" w:rsidR="0056784D" w:rsidRPr="00EF2490" w:rsidRDefault="0056784D" w:rsidP="0056784D">
      <w:pPr>
        <w:pStyle w:val="BodyText"/>
        <w:jc w:val="both"/>
        <w:rPr>
          <w:b/>
          <w:lang w:val="en"/>
        </w:rPr>
      </w:pPr>
      <w:r w:rsidRPr="00EF2490">
        <w:rPr>
          <w:b/>
          <w:lang w:val="en"/>
        </w:rPr>
        <w:t>Annual Monitoring Report</w:t>
      </w:r>
    </w:p>
    <w:p w14:paraId="31BE3081" w14:textId="77777777" w:rsidR="0056784D" w:rsidRDefault="0056784D" w:rsidP="0056784D">
      <w:pPr>
        <w:pStyle w:val="BodyText"/>
        <w:jc w:val="both"/>
        <w:rPr>
          <w:lang w:val="en"/>
        </w:rPr>
      </w:pPr>
      <w:r w:rsidRPr="00D74287">
        <w:rPr>
          <w:lang w:val="en"/>
        </w:rPr>
        <w:t>A report submitted to the Government by local planning authorities assessing progress with and the effectiveness of a Local Development Framework.</w:t>
      </w:r>
    </w:p>
    <w:p w14:paraId="68578A78" w14:textId="77777777" w:rsidR="0056784D" w:rsidRDefault="0056784D" w:rsidP="0056784D">
      <w:pPr>
        <w:jc w:val="both"/>
        <w:rPr>
          <w:rFonts w:cs="Arial"/>
          <w:b/>
          <w:lang w:val="en"/>
        </w:rPr>
      </w:pPr>
      <w:r w:rsidRPr="009A44C3">
        <w:rPr>
          <w:rFonts w:cs="Arial"/>
          <w:b/>
          <w:lang w:val="en"/>
        </w:rPr>
        <w:t xml:space="preserve">Basic Conditions </w:t>
      </w:r>
    </w:p>
    <w:p w14:paraId="016813FC" w14:textId="77777777" w:rsidR="0056784D" w:rsidRPr="009A44C3" w:rsidRDefault="0056784D" w:rsidP="0056784D">
      <w:pPr>
        <w:jc w:val="both"/>
        <w:rPr>
          <w:rFonts w:cs="Arial"/>
          <w:b/>
          <w:lang w:val="en"/>
        </w:rPr>
      </w:pPr>
    </w:p>
    <w:p w14:paraId="10D35DBA" w14:textId="77777777" w:rsidR="0056784D" w:rsidRDefault="0056784D" w:rsidP="0056784D">
      <w:pPr>
        <w:jc w:val="both"/>
        <w:rPr>
          <w:rFonts w:cs="Arial"/>
          <w:lang w:val="en"/>
        </w:rPr>
      </w:pPr>
      <w:r>
        <w:rPr>
          <w:rFonts w:cs="Arial"/>
          <w:lang w:val="en"/>
        </w:rPr>
        <w:t xml:space="preserve">The basic conditions are the legal tests that are made at the examination stage of neighbourhood development plans. They need to be met before a plan can progress to referendum. </w:t>
      </w:r>
    </w:p>
    <w:p w14:paraId="17BF5E5F" w14:textId="77777777" w:rsidR="0056784D" w:rsidRDefault="0056784D" w:rsidP="0056784D">
      <w:pPr>
        <w:jc w:val="both"/>
        <w:rPr>
          <w:rFonts w:cs="Arial"/>
          <w:lang w:val="en"/>
        </w:rPr>
      </w:pPr>
    </w:p>
    <w:p w14:paraId="23943187" w14:textId="77777777" w:rsidR="0056784D" w:rsidRDefault="0056784D" w:rsidP="0056784D">
      <w:pPr>
        <w:jc w:val="both"/>
        <w:rPr>
          <w:rFonts w:cs="Arial"/>
          <w:lang w:val="en"/>
        </w:rPr>
      </w:pPr>
    </w:p>
    <w:p w14:paraId="073CBD0F" w14:textId="77777777" w:rsidR="0056784D" w:rsidRPr="009A44C3" w:rsidRDefault="0056784D" w:rsidP="0056784D">
      <w:pPr>
        <w:jc w:val="both"/>
        <w:rPr>
          <w:rFonts w:cs="Arial"/>
          <w:b/>
          <w:lang w:val="en"/>
        </w:rPr>
      </w:pPr>
      <w:r w:rsidRPr="009A44C3">
        <w:rPr>
          <w:rFonts w:cs="Arial"/>
          <w:b/>
          <w:lang w:val="en"/>
        </w:rPr>
        <w:lastRenderedPageBreak/>
        <w:t>Backlog need</w:t>
      </w:r>
    </w:p>
    <w:p w14:paraId="402D9C56" w14:textId="77777777" w:rsidR="0056784D" w:rsidRDefault="0056784D" w:rsidP="0056784D">
      <w:pPr>
        <w:jc w:val="both"/>
        <w:rPr>
          <w:rFonts w:cs="Arial"/>
          <w:lang w:val="en"/>
        </w:rPr>
      </w:pPr>
      <w:r>
        <w:rPr>
          <w:rFonts w:cs="Arial"/>
          <w:lang w:val="en"/>
        </w:rPr>
        <w:t xml:space="preserve">The backlog need constitutes those households who are eligible for Affordable Housing, on account of homelessness, over-crowding, concealment or affordability, but who are yet to be offered a home suited to their needs. </w:t>
      </w:r>
    </w:p>
    <w:p w14:paraId="30D3740F" w14:textId="77777777" w:rsidR="0056784D" w:rsidRDefault="0056784D" w:rsidP="0056784D">
      <w:pPr>
        <w:jc w:val="both"/>
        <w:rPr>
          <w:rFonts w:cs="Arial"/>
          <w:lang w:val="en"/>
        </w:rPr>
      </w:pPr>
    </w:p>
    <w:p w14:paraId="3B183965" w14:textId="77777777" w:rsidR="0056784D" w:rsidRPr="004F6A79" w:rsidRDefault="0056784D" w:rsidP="0056784D">
      <w:pPr>
        <w:jc w:val="both"/>
        <w:rPr>
          <w:rFonts w:cs="Arial"/>
          <w:lang w:val="en"/>
        </w:rPr>
      </w:pPr>
      <w:r w:rsidRPr="00EF2490">
        <w:rPr>
          <w:b/>
          <w:lang w:val="en"/>
        </w:rPr>
        <w:t>Bedroom Standard</w:t>
      </w:r>
      <w:r w:rsidRPr="00EF2490">
        <w:rPr>
          <w:rStyle w:val="FootnoteReference"/>
          <w:rFonts w:cs="Arial"/>
          <w:b/>
          <w:lang w:val="en"/>
        </w:rPr>
        <w:footnoteReference w:id="23"/>
      </w:r>
    </w:p>
    <w:p w14:paraId="2B5E9848" w14:textId="77777777" w:rsidR="0056784D" w:rsidRDefault="0056784D" w:rsidP="0056784D">
      <w:pPr>
        <w:pStyle w:val="BodyText"/>
        <w:jc w:val="both"/>
        <w:rPr>
          <w:lang w:val="en"/>
        </w:rPr>
      </w:pPr>
      <w:r w:rsidRPr="00F56E61">
        <w:rPr>
          <w:lang w:val="en"/>
        </w:rPr>
        <w:t>A measure of occupancy (whether a property is overcrowded or under</w:t>
      </w:r>
      <w:r w:rsidRPr="00F56E61">
        <w:rPr>
          <w:rFonts w:ascii="Cambria Math" w:hAnsi="Cambria Math" w:cs="Cambria Math"/>
          <w:lang w:val="en"/>
        </w:rPr>
        <w:t>‐</w:t>
      </w:r>
      <w:r w:rsidRPr="00F56E61">
        <w:rPr>
          <w:lang w:val="en"/>
        </w:rPr>
        <w:t>occupied, based on the number of bedrooms in a property and the type of household in residence. The Census overcrowding data is based on occupancy rating (overcrowding by number of rooms not including bathrooms and hallways). This tends to produce higher levels of overcrowding/ under occupation. A detailed definition of the standard is given in the Glossary of the EHS Household Report</w:t>
      </w:r>
    </w:p>
    <w:p w14:paraId="6704CBA9" w14:textId="77777777" w:rsidR="0056784D" w:rsidRPr="00EF2490" w:rsidRDefault="0056784D" w:rsidP="0056784D">
      <w:pPr>
        <w:pStyle w:val="BodyText"/>
        <w:jc w:val="both"/>
        <w:rPr>
          <w:b/>
          <w:lang w:val="en"/>
        </w:rPr>
      </w:pPr>
      <w:r w:rsidRPr="00EF2490">
        <w:rPr>
          <w:b/>
          <w:lang w:val="en"/>
        </w:rPr>
        <w:t>Co-living</w:t>
      </w:r>
    </w:p>
    <w:p w14:paraId="3E05F381" w14:textId="77777777" w:rsidR="0056784D" w:rsidRDefault="0056784D" w:rsidP="0056784D">
      <w:pPr>
        <w:pStyle w:val="BodyText"/>
        <w:jc w:val="both"/>
        <w:rPr>
          <w:lang w:val="en"/>
        </w:rPr>
      </w:pPr>
      <w:r w:rsidRPr="00DD4B5E">
        <w:rPr>
          <w:lang w:val="en"/>
        </w:rPr>
        <w:t xml:space="preserve">Co-living denotes people who do not </w:t>
      </w:r>
      <w:r>
        <w:rPr>
          <w:lang w:val="en"/>
        </w:rPr>
        <w:t xml:space="preserve">have </w:t>
      </w:r>
      <w:r w:rsidRPr="00DD4B5E">
        <w:rPr>
          <w:lang w:val="en"/>
        </w:rPr>
        <w:t>family ties sharing either a self-contained dwelling (i.e., a 'house share') or new development akin to student housing in which people have a bedroom and bathroom</w:t>
      </w:r>
      <w:r>
        <w:rPr>
          <w:lang w:val="en"/>
        </w:rPr>
        <w:t xml:space="preserve"> to themselves</w:t>
      </w:r>
      <w:r w:rsidRPr="00DD4B5E">
        <w:rPr>
          <w:lang w:val="en"/>
        </w:rPr>
        <w:t>, but share living and kitchen space with others. In co-living schemes each individual represents a separate 'household'.</w:t>
      </w:r>
    </w:p>
    <w:p w14:paraId="055B5EEE" w14:textId="77777777" w:rsidR="0056784D" w:rsidRPr="00EF2490" w:rsidRDefault="0056784D" w:rsidP="0056784D">
      <w:pPr>
        <w:pStyle w:val="BodyText"/>
        <w:jc w:val="both"/>
        <w:rPr>
          <w:b/>
          <w:lang w:val="en"/>
        </w:rPr>
      </w:pPr>
      <w:r w:rsidRPr="00EF2490">
        <w:rPr>
          <w:b/>
          <w:lang w:val="en"/>
        </w:rPr>
        <w:t>Community Led Housing/Community Land Trusts</w:t>
      </w:r>
    </w:p>
    <w:p w14:paraId="1D557361" w14:textId="77777777" w:rsidR="0056784D" w:rsidRPr="00D45CF7" w:rsidRDefault="0056784D" w:rsidP="0056784D">
      <w:pPr>
        <w:pStyle w:val="BodyText"/>
        <w:jc w:val="both"/>
        <w:rPr>
          <w:kern w:val="0"/>
          <w:lang w:val="en"/>
        </w:rPr>
      </w:pPr>
      <w:r w:rsidRPr="00D45CF7">
        <w:rPr>
          <w:kern w:val="0"/>
          <w:lang w:val="en"/>
        </w:rPr>
        <w:t>Housing development</w:t>
      </w:r>
      <w:r>
        <w:rPr>
          <w:kern w:val="0"/>
          <w:lang w:val="en"/>
        </w:rPr>
        <w:t>, provision and management</w:t>
      </w:r>
      <w:r w:rsidRPr="00D45CF7">
        <w:rPr>
          <w:kern w:val="0"/>
          <w:lang w:val="en"/>
        </w:rPr>
        <w:t xml:space="preserve"> that is led by the community is very often driven by a need to secure affordable housing for local people in the belief that housing that comes through the planning system may be neither the right tenure or price-point</w:t>
      </w:r>
      <w:r>
        <w:rPr>
          <w:kern w:val="0"/>
          <w:lang w:val="en"/>
        </w:rPr>
        <w:t xml:space="preserve"> to be attractive or affordable to local people. </w:t>
      </w:r>
      <w:r w:rsidRPr="00D45CF7">
        <w:rPr>
          <w:kern w:val="0"/>
          <w:lang w:val="en"/>
        </w:rPr>
        <w:t>The principle fo</w:t>
      </w:r>
      <w:r>
        <w:rPr>
          <w:kern w:val="0"/>
          <w:lang w:val="en"/>
        </w:rPr>
        <w:t xml:space="preserve">rms of community-led models include </w:t>
      </w:r>
      <w:r w:rsidRPr="00D45CF7">
        <w:rPr>
          <w:kern w:val="0"/>
          <w:lang w:val="en"/>
        </w:rPr>
        <w:t>cooperatives, co-housing communities, self-help housing, community self-build housing, collective custom-build housing, and community land trusts. By bringing forward development which is owned by the community, the community is able to set rents and/or mortgage payments at a rate that it feels is appropriate.</w:t>
      </w:r>
      <w:r>
        <w:rPr>
          <w:kern w:val="0"/>
          <w:lang w:val="en"/>
        </w:rPr>
        <w:t xml:space="preserve"> The Government has a range of support programmes for people interested in bringing forward community led housing.</w:t>
      </w:r>
    </w:p>
    <w:p w14:paraId="72381C70" w14:textId="77777777" w:rsidR="0056784D" w:rsidRPr="00EF2490" w:rsidRDefault="0056784D" w:rsidP="0056784D">
      <w:pPr>
        <w:pStyle w:val="BodyText"/>
        <w:jc w:val="both"/>
        <w:rPr>
          <w:b/>
        </w:rPr>
      </w:pPr>
      <w:r w:rsidRPr="00EF2490">
        <w:rPr>
          <w:b/>
        </w:rPr>
        <w:t>Community Right to Build Order</w:t>
      </w:r>
      <w:r w:rsidRPr="00EF2490">
        <w:rPr>
          <w:rStyle w:val="FootnoteReference"/>
          <w:rFonts w:cs="Arial"/>
          <w:b/>
        </w:rPr>
        <w:footnoteReference w:id="24"/>
      </w:r>
    </w:p>
    <w:p w14:paraId="6DA7EA79" w14:textId="77777777" w:rsidR="0056784D" w:rsidRPr="00D74287" w:rsidRDefault="0056784D" w:rsidP="0056784D">
      <w:pPr>
        <w:pStyle w:val="BodyText"/>
        <w:jc w:val="both"/>
        <w:rPr>
          <w:rFonts w:eastAsia="Times New Roman"/>
          <w:lang w:val="en"/>
        </w:rPr>
      </w:pPr>
      <w:r w:rsidRPr="00D74287">
        <w:rPr>
          <w:rFonts w:eastAsia="Times New Roman"/>
          <w:lang w:val="en"/>
        </w:rPr>
        <w:t>An Order made by the local planning authority (under the Town and Country Planning Act 1990) that grants planning permission for a site-specific development proposal or classes of development.</w:t>
      </w:r>
    </w:p>
    <w:p w14:paraId="5DDB127A" w14:textId="77777777" w:rsidR="0056784D" w:rsidRPr="00EF2490" w:rsidRDefault="0056784D" w:rsidP="0056784D">
      <w:pPr>
        <w:pStyle w:val="BodyText"/>
        <w:jc w:val="both"/>
        <w:rPr>
          <w:b/>
        </w:rPr>
      </w:pPr>
      <w:r w:rsidRPr="00EF2490">
        <w:rPr>
          <w:b/>
        </w:rPr>
        <w:t>Concealed Families (Census Definition)</w:t>
      </w:r>
      <w:r w:rsidRPr="00EF2490">
        <w:rPr>
          <w:rStyle w:val="FootnoteReference"/>
          <w:rFonts w:cs="Arial"/>
          <w:b/>
        </w:rPr>
        <w:footnoteReference w:id="25"/>
      </w:r>
    </w:p>
    <w:p w14:paraId="3860A92A" w14:textId="77777777" w:rsidR="0056784D" w:rsidRPr="00D74287" w:rsidRDefault="0056784D" w:rsidP="0056784D">
      <w:pPr>
        <w:pStyle w:val="BodyText"/>
        <w:jc w:val="both"/>
      </w:pPr>
      <w:r w:rsidRPr="00D74287">
        <w:t xml:space="preserve">The 2011 Census defined a concealed family as </w:t>
      </w:r>
      <w:r>
        <w:t xml:space="preserve">one with </w:t>
      </w:r>
      <w:r w:rsidRPr="00D74287">
        <w:t>young adults living with a partner and/or child/children in the same household as their parents, older couples living with an adult child and their family or unrelated families sharing a household. A single person cannot be a concealed family; therefore one elderly parent living with their adult child and family or an adult child returning to the parental home is not a concealed family; the latter are reported in an ONS analysis on increasing numbers of young adults living with parents.</w:t>
      </w:r>
    </w:p>
    <w:p w14:paraId="6F4677BD" w14:textId="77777777" w:rsidR="0056784D" w:rsidRPr="00EF2490" w:rsidRDefault="0056784D" w:rsidP="0056784D">
      <w:pPr>
        <w:pStyle w:val="BodyText"/>
        <w:jc w:val="both"/>
        <w:rPr>
          <w:b/>
        </w:rPr>
      </w:pPr>
      <w:r w:rsidRPr="00EF2490">
        <w:rPr>
          <w:b/>
        </w:rPr>
        <w:t>Equity Loans/Shared Equity</w:t>
      </w:r>
    </w:p>
    <w:p w14:paraId="7D6C726F" w14:textId="77777777" w:rsidR="0056784D" w:rsidRDefault="0056784D" w:rsidP="0056784D">
      <w:pPr>
        <w:pStyle w:val="BodyText"/>
        <w:jc w:val="both"/>
      </w:pPr>
      <w:r w:rsidRPr="00F56E61">
        <w:t>An equity loan which acts as a second charge on a property. For example, a household buys a £200,000 property with a 10% equity loan (£20,000). They pay a small amount for the loan and when the property is sold e.g. for £250,000 the lender receives 10% of the sale cost (£25,000). Some equity loans were available for the purchase of existing stock. The current scheme is to assist people to buy new build</w:t>
      </w:r>
      <w:r>
        <w:t>.</w:t>
      </w:r>
    </w:p>
    <w:p w14:paraId="446F185E" w14:textId="77777777" w:rsidR="0056784D" w:rsidRPr="00EF2490" w:rsidRDefault="0056784D" w:rsidP="0056784D">
      <w:pPr>
        <w:pStyle w:val="BodyText"/>
        <w:jc w:val="both"/>
        <w:rPr>
          <w:b/>
        </w:rPr>
      </w:pPr>
      <w:r w:rsidRPr="00EF2490">
        <w:rPr>
          <w:b/>
        </w:rPr>
        <w:t>Extra Care Housing</w:t>
      </w:r>
      <w:r w:rsidRPr="00EF2490">
        <w:rPr>
          <w:rStyle w:val="FootnoteReference"/>
          <w:rFonts w:cs="Arial"/>
          <w:b/>
        </w:rPr>
        <w:footnoteReference w:id="26"/>
      </w:r>
    </w:p>
    <w:p w14:paraId="7506945A" w14:textId="77777777" w:rsidR="0056784D" w:rsidRDefault="0056784D" w:rsidP="0056784D">
      <w:pPr>
        <w:pStyle w:val="BodyText"/>
        <w:jc w:val="both"/>
      </w:pPr>
      <w:r w:rsidRPr="00D74287">
        <w:t xml:space="preserve">New forms of sheltered housing and retirement housing have been pioneered in recent years, to cater for older people who are becoming more frail and less able to do everything for themselves. Extra Care Housing is housing designed with the needs of frailer older people in mind and with varying levels of care and support available on site. People who live in Extra Care Housing have their own self-contained homes, their own front doors and a legal right to occupy the property. Extra Care Housing is also known as very or enhanced sheltered housing, assisted living, or simply as 'housing with care'. It comes in many built forms, including blocks of flats, bungalow estates and retirement villages. It is a popular choice among older people because it can sometimes provide an alternative to a care home. In addition to the communal facilities often found in sheltered housing (residents' lounge, guest suite, laundry), Extra Care often includes a restaurant or dining room, health &amp; fitness facilities, hobby rooms and even computer rooms. Domestic support and personal care are available, usually provided by on-site staff. Properties can be rented, owned or part owned/part rented. There is a limited (though </w:t>
      </w:r>
      <w:r w:rsidRPr="00D74287">
        <w:lastRenderedPageBreak/>
        <w:t xml:space="preserve">increasing) amount of Extra Care Housing in most areas and most providers set eligibility criteria which prospective residents have to meet. </w:t>
      </w:r>
    </w:p>
    <w:p w14:paraId="18764878" w14:textId="77777777" w:rsidR="0056784D" w:rsidRPr="00EF2490" w:rsidRDefault="0056784D" w:rsidP="0056784D">
      <w:pPr>
        <w:pStyle w:val="BodyText"/>
        <w:jc w:val="both"/>
        <w:rPr>
          <w:b/>
        </w:rPr>
      </w:pPr>
      <w:r>
        <w:rPr>
          <w:b/>
        </w:rPr>
        <w:t>Fair S</w:t>
      </w:r>
      <w:r w:rsidRPr="00EF2490">
        <w:rPr>
          <w:b/>
        </w:rPr>
        <w:t>hare</w:t>
      </w:r>
    </w:p>
    <w:p w14:paraId="0CC6DC2B" w14:textId="77777777" w:rsidR="0056784D" w:rsidRDefault="0056784D" w:rsidP="0056784D">
      <w:pPr>
        <w:pStyle w:val="BodyText"/>
        <w:jc w:val="both"/>
      </w:pPr>
      <w:r w:rsidRPr="00DD4B5E">
        <w:t xml:space="preserve">'Fair share' </w:t>
      </w:r>
      <w:r>
        <w:t xml:space="preserve">is an approach to determining housing need within a given geographical area based on a proportional split according to the size of the area, the number of homes in it, or its population. </w:t>
      </w:r>
    </w:p>
    <w:p w14:paraId="43F9166B" w14:textId="77777777" w:rsidR="0056784D" w:rsidRPr="00777D3A" w:rsidRDefault="0056784D" w:rsidP="0056784D">
      <w:pPr>
        <w:pStyle w:val="BodyText"/>
        <w:jc w:val="both"/>
        <w:rPr>
          <w:b/>
        </w:rPr>
      </w:pPr>
      <w:r w:rsidRPr="00777D3A">
        <w:rPr>
          <w:b/>
        </w:rPr>
        <w:t>Habitable Rooms</w:t>
      </w:r>
    </w:p>
    <w:p w14:paraId="45DDD492" w14:textId="77777777" w:rsidR="0056784D" w:rsidRDefault="0056784D" w:rsidP="0056784D">
      <w:pPr>
        <w:pStyle w:val="BodyText"/>
        <w:jc w:val="both"/>
      </w:pPr>
      <w:r>
        <w:t>The number of h</w:t>
      </w:r>
      <w:r w:rsidRPr="00777D3A">
        <w:t xml:space="preserve">abitable rooms </w:t>
      </w:r>
      <w:r>
        <w:t xml:space="preserve">in a home </w:t>
      </w:r>
      <w:r w:rsidRPr="00777D3A">
        <w:t xml:space="preserve">is the </w:t>
      </w:r>
      <w:r>
        <w:t xml:space="preserve">total number of rooms, less </w:t>
      </w:r>
      <w:r w:rsidRPr="00777D3A">
        <w:t>bathrooms, toilets and halls.</w:t>
      </w:r>
    </w:p>
    <w:p w14:paraId="6A30CCBD" w14:textId="77777777" w:rsidR="0056784D" w:rsidRPr="00EF2490" w:rsidRDefault="0056784D" w:rsidP="0056784D">
      <w:pPr>
        <w:pStyle w:val="BodyText"/>
        <w:jc w:val="both"/>
        <w:rPr>
          <w:b/>
        </w:rPr>
      </w:pPr>
      <w:r w:rsidRPr="00EF2490">
        <w:rPr>
          <w:b/>
        </w:rPr>
        <w:t>Household Reference Person (HRP)</w:t>
      </w:r>
    </w:p>
    <w:p w14:paraId="6D2B577B" w14:textId="77777777" w:rsidR="0056784D" w:rsidRDefault="0056784D" w:rsidP="0056784D">
      <w:pPr>
        <w:pStyle w:val="BodyText"/>
        <w:jc w:val="both"/>
      </w:pPr>
      <w:r w:rsidRPr="00F56E61">
        <w:t>The concept of a Household Reference Person (HRP) was introduced in the 2001</w:t>
      </w:r>
      <w:r>
        <w:t xml:space="preserve"> Census </w:t>
      </w:r>
      <w:r w:rsidRPr="00F56E61">
        <w:t>(in common with other government surveys in 2001/2) to repl</w:t>
      </w:r>
      <w:r>
        <w:t xml:space="preserve">ace the traditional concept of </w:t>
      </w:r>
      <w:r w:rsidRPr="00F56E61">
        <w:t>the head of the household. HRPs provide an individual perso</w:t>
      </w:r>
      <w:r>
        <w:t xml:space="preserve">n within a household to act as </w:t>
      </w:r>
      <w:r w:rsidRPr="00F56E61">
        <w:t>a reference point for producing further derived statistics and fo</w:t>
      </w:r>
      <w:r>
        <w:t xml:space="preserve">r characterising a whole </w:t>
      </w:r>
      <w:r w:rsidRPr="00F56E61">
        <w:t xml:space="preserve">household according to characteristics of the chosen reference person. </w:t>
      </w:r>
    </w:p>
    <w:p w14:paraId="32C80E4F" w14:textId="77777777" w:rsidR="0056784D" w:rsidRPr="00EF2490" w:rsidRDefault="0056784D" w:rsidP="0056784D">
      <w:pPr>
        <w:pStyle w:val="BodyText"/>
        <w:jc w:val="both"/>
        <w:rPr>
          <w:b/>
        </w:rPr>
      </w:pPr>
      <w:r w:rsidRPr="00EF2490">
        <w:rPr>
          <w:b/>
        </w:rPr>
        <w:t>Housing Market Area (PPG Definition)</w:t>
      </w:r>
      <w:r w:rsidRPr="00EF2490">
        <w:rPr>
          <w:rStyle w:val="FootnoteReference"/>
          <w:rFonts w:cs="Arial"/>
          <w:b/>
        </w:rPr>
        <w:footnoteReference w:id="27"/>
      </w:r>
    </w:p>
    <w:p w14:paraId="3FD9B382" w14:textId="77777777" w:rsidR="0056784D" w:rsidRPr="00D74287" w:rsidRDefault="0056784D" w:rsidP="0056784D">
      <w:pPr>
        <w:pStyle w:val="BodyText"/>
        <w:jc w:val="both"/>
        <w:rPr>
          <w:lang w:val="en"/>
        </w:rPr>
      </w:pPr>
      <w:r w:rsidRPr="00D74287">
        <w:rPr>
          <w:lang w:val="en"/>
        </w:rPr>
        <w:t>A housing market area is a geographical area defined by household demand and preferences for all types of housing, reflecting the key functional linkages between places where people live and work. It might be the case that housing market areas overlap.</w:t>
      </w:r>
    </w:p>
    <w:p w14:paraId="1DC84EA8" w14:textId="77777777" w:rsidR="0056784D" w:rsidRPr="00D74287" w:rsidRDefault="0056784D" w:rsidP="0056784D">
      <w:pPr>
        <w:pStyle w:val="BodyText"/>
        <w:jc w:val="both"/>
        <w:rPr>
          <w:lang w:val="en"/>
        </w:rPr>
      </w:pPr>
      <w:r w:rsidRPr="00D74287">
        <w:rPr>
          <w:lang w:val="en"/>
        </w:rPr>
        <w:t xml:space="preserve">The extent of the housing market areas identified will vary, and many will in practice cut across various local planning authority administrative boundaries. Local planning authorities should work with all the other constituent authorities under the </w:t>
      </w:r>
      <w:r w:rsidRPr="000B6A0F">
        <w:rPr>
          <w:lang w:val="en"/>
        </w:rPr>
        <w:t>duty to cooperate</w:t>
      </w:r>
      <w:r w:rsidRPr="00D74287">
        <w:rPr>
          <w:lang w:val="en"/>
        </w:rPr>
        <w:t>.</w:t>
      </w:r>
    </w:p>
    <w:p w14:paraId="287E4100" w14:textId="77777777" w:rsidR="0056784D" w:rsidRPr="00EF2490" w:rsidRDefault="0056784D" w:rsidP="0056784D">
      <w:pPr>
        <w:pStyle w:val="BodyText"/>
        <w:jc w:val="both"/>
        <w:rPr>
          <w:b/>
        </w:rPr>
      </w:pPr>
      <w:r w:rsidRPr="00EF2490">
        <w:rPr>
          <w:b/>
        </w:rPr>
        <w:t>Housing Needs</w:t>
      </w:r>
    </w:p>
    <w:p w14:paraId="0E9058CC" w14:textId="77777777" w:rsidR="0056784D" w:rsidRDefault="0056784D" w:rsidP="0056784D">
      <w:pPr>
        <w:pStyle w:val="BodyText"/>
        <w:jc w:val="both"/>
      </w:pPr>
      <w:r w:rsidRPr="00D74287">
        <w:t>There is no official definition of housing need in either the National Planning Policy Framework or the National Planning Practice Guidance. Clearly, individuals have their own housing needs. The process of understanding housing needs at a population scale is undertaken via the preparation of a Strategic Housing Market Assessment (see below).</w:t>
      </w:r>
    </w:p>
    <w:p w14:paraId="52AB3BA3" w14:textId="77777777" w:rsidR="0056784D" w:rsidRPr="00EF2490" w:rsidRDefault="0056784D" w:rsidP="0056784D">
      <w:pPr>
        <w:pStyle w:val="BodyText"/>
        <w:jc w:val="both"/>
        <w:rPr>
          <w:b/>
        </w:rPr>
      </w:pPr>
      <w:r w:rsidRPr="00EF2490">
        <w:rPr>
          <w:b/>
        </w:rPr>
        <w:t>Housing Needs Assessment</w:t>
      </w:r>
    </w:p>
    <w:p w14:paraId="0E1BB888" w14:textId="77777777" w:rsidR="0056784D" w:rsidRPr="00D74287" w:rsidRDefault="0056784D" w:rsidP="0056784D">
      <w:pPr>
        <w:pStyle w:val="BodyText"/>
        <w:jc w:val="both"/>
      </w:pPr>
      <w:r>
        <w:t>A Housing Needs Assessment (HNA) is an assessment of housing needs at the Neighbourhood Area level.</w:t>
      </w:r>
    </w:p>
    <w:p w14:paraId="5882E47D" w14:textId="77777777" w:rsidR="0056784D" w:rsidRPr="00EF2490" w:rsidRDefault="0056784D" w:rsidP="0056784D">
      <w:pPr>
        <w:pStyle w:val="BodyText"/>
        <w:jc w:val="both"/>
        <w:rPr>
          <w:b/>
        </w:rPr>
      </w:pPr>
      <w:r w:rsidRPr="00EF2490">
        <w:rPr>
          <w:b/>
        </w:rPr>
        <w:t>Housing Products</w:t>
      </w:r>
    </w:p>
    <w:p w14:paraId="30847A42" w14:textId="77777777" w:rsidR="0056784D" w:rsidRPr="00D74287" w:rsidRDefault="0056784D" w:rsidP="0056784D">
      <w:pPr>
        <w:pStyle w:val="BodyText"/>
        <w:jc w:val="both"/>
      </w:pPr>
      <w:r w:rsidRPr="00D74287">
        <w:t>Housing products simply refers to different types of housing as they are produced by developers of various kinds (including councils and housing associations). Housing products usually refers to specific tenures and types of new build housing, such as Starter Homes, the Government’s flagship ‘housing product’.</w:t>
      </w:r>
    </w:p>
    <w:p w14:paraId="65531090" w14:textId="77777777" w:rsidR="0056784D" w:rsidRPr="00EF2490" w:rsidRDefault="0056784D" w:rsidP="0056784D">
      <w:pPr>
        <w:pStyle w:val="BodyText"/>
        <w:jc w:val="both"/>
        <w:rPr>
          <w:b/>
        </w:rPr>
      </w:pPr>
      <w:r w:rsidRPr="00EF2490">
        <w:rPr>
          <w:b/>
        </w:rPr>
        <w:t>Housing Size (Census Definition)</w:t>
      </w:r>
    </w:p>
    <w:p w14:paraId="3EAF554E" w14:textId="77777777" w:rsidR="0056784D" w:rsidRPr="00D74287" w:rsidRDefault="0056784D" w:rsidP="0056784D">
      <w:pPr>
        <w:pStyle w:val="BodyText"/>
        <w:jc w:val="both"/>
      </w:pPr>
      <w:r w:rsidRPr="00D74287">
        <w:t xml:space="preserve">Housing size can be referred to either in terms of the number of bedrooms in a home (a bedroom is defined as any room that was intended to be used as a bedroom when the property was built, any rooms permanently converted for use as bedrooms); or in terms of the number of rooms, excluding bathrooms, toilets halls or landings, or rooms that can only be used for storage. All other rooms, for example, kitchens, living rooms, bedrooms, utility rooms, studies and conservatories are counted.  If two rooms have been converted into one they are counted as one room. Rooms shared between a number of households, for example a shared kitchen, are not counted. </w:t>
      </w:r>
    </w:p>
    <w:p w14:paraId="676867E0" w14:textId="77777777" w:rsidR="0056784D" w:rsidRPr="00EF2490" w:rsidRDefault="0056784D" w:rsidP="0056784D">
      <w:pPr>
        <w:pStyle w:val="BodyText"/>
        <w:jc w:val="both"/>
        <w:rPr>
          <w:b/>
        </w:rPr>
      </w:pPr>
      <w:r w:rsidRPr="00EF2490">
        <w:rPr>
          <w:b/>
        </w:rPr>
        <w:t>Housing Type (Census Definition)</w:t>
      </w:r>
    </w:p>
    <w:p w14:paraId="2B65F4B6" w14:textId="77777777" w:rsidR="0056784D" w:rsidRPr="00D74287" w:rsidRDefault="0056784D" w:rsidP="0056784D">
      <w:pPr>
        <w:pStyle w:val="BodyText"/>
        <w:jc w:val="both"/>
      </w:pPr>
      <w:r w:rsidRPr="00D74287">
        <w:t>This refers to the type of accommodation used or available for use by an individual household, including detached, semi-detached, terraced including end of terraced, and flats. Flats are broken down into those in a purpose-built block of flats, in parts of a converted or shared house, or in a commercial building.</w:t>
      </w:r>
    </w:p>
    <w:p w14:paraId="0169B905" w14:textId="77777777" w:rsidR="0056784D" w:rsidRDefault="0056784D" w:rsidP="0056784D">
      <w:pPr>
        <w:pStyle w:val="BodyText"/>
        <w:jc w:val="both"/>
        <w:rPr>
          <w:b/>
        </w:rPr>
      </w:pPr>
    </w:p>
    <w:p w14:paraId="4FEBB28F" w14:textId="77777777" w:rsidR="0056784D" w:rsidRPr="00EF2490" w:rsidRDefault="0056784D" w:rsidP="0056784D">
      <w:pPr>
        <w:pStyle w:val="BodyText"/>
        <w:jc w:val="both"/>
        <w:rPr>
          <w:b/>
        </w:rPr>
      </w:pPr>
      <w:r w:rsidRPr="00EF2490">
        <w:rPr>
          <w:b/>
        </w:rPr>
        <w:lastRenderedPageBreak/>
        <w:t>Housing Tenure (Census Definition)</w:t>
      </w:r>
    </w:p>
    <w:p w14:paraId="202DE534" w14:textId="77777777" w:rsidR="0056784D" w:rsidRPr="00D74287" w:rsidRDefault="0056784D" w:rsidP="0056784D">
      <w:pPr>
        <w:pStyle w:val="BodyText"/>
        <w:jc w:val="both"/>
      </w:pPr>
      <w:r w:rsidRPr="00D74287">
        <w:t xml:space="preserve">Tenure provides information about whether a household rents or owns the accommodation that it occupies and, if rented, combines this with information about the type of landlord who owns or manages the accommodation. </w:t>
      </w:r>
    </w:p>
    <w:p w14:paraId="1BBEC53F" w14:textId="77777777" w:rsidR="0056784D" w:rsidRPr="00EF2490" w:rsidRDefault="0056784D" w:rsidP="0056784D">
      <w:pPr>
        <w:pStyle w:val="BodyText"/>
        <w:jc w:val="both"/>
        <w:rPr>
          <w:b/>
        </w:rPr>
      </w:pPr>
      <w:r w:rsidRPr="00EF2490">
        <w:rPr>
          <w:b/>
        </w:rPr>
        <w:t>Income Threshold</w:t>
      </w:r>
    </w:p>
    <w:p w14:paraId="00A1D510" w14:textId="77777777" w:rsidR="0056784D" w:rsidRDefault="0056784D" w:rsidP="0056784D">
      <w:pPr>
        <w:pStyle w:val="BodyText"/>
        <w:jc w:val="both"/>
      </w:pPr>
      <w:r w:rsidRPr="00D74287">
        <w:t xml:space="preserve">Income thresholds are derived as a result of the annualisation of the monthly rental cost and then asserting this cost should not exceed 35% of annual household income. </w:t>
      </w:r>
    </w:p>
    <w:p w14:paraId="5B776BC0" w14:textId="77777777" w:rsidR="0056784D" w:rsidRDefault="0056784D" w:rsidP="0056784D">
      <w:pPr>
        <w:pStyle w:val="BodyText"/>
        <w:jc w:val="both"/>
        <w:rPr>
          <w:b/>
        </w:rPr>
      </w:pPr>
      <w:r w:rsidRPr="00727EA6">
        <w:rPr>
          <w:b/>
        </w:rPr>
        <w:t>Intercensal Period 2001-2011</w:t>
      </w:r>
    </w:p>
    <w:p w14:paraId="0F6D93A6" w14:textId="77777777" w:rsidR="0056784D" w:rsidRDefault="0056784D" w:rsidP="0056784D">
      <w:pPr>
        <w:pStyle w:val="BodyText"/>
        <w:jc w:val="both"/>
      </w:pPr>
      <w:r>
        <w:t>The period between the last two censuses, i.e. between years 2001 and 2011.</w:t>
      </w:r>
    </w:p>
    <w:p w14:paraId="79C5FFA6" w14:textId="77777777" w:rsidR="0056784D" w:rsidRDefault="0056784D" w:rsidP="0056784D">
      <w:pPr>
        <w:pStyle w:val="ListNumber"/>
        <w:numPr>
          <w:ilvl w:val="0"/>
          <w:numId w:val="0"/>
        </w:numPr>
        <w:jc w:val="both"/>
        <w:rPr>
          <w:b/>
        </w:rPr>
      </w:pPr>
      <w:r w:rsidRPr="008B141B">
        <w:rPr>
          <w:b/>
        </w:rPr>
        <w:t>Intermediate Housing</w:t>
      </w:r>
    </w:p>
    <w:p w14:paraId="3BED73EC" w14:textId="77777777" w:rsidR="0056784D" w:rsidRDefault="0056784D" w:rsidP="0056784D">
      <w:pPr>
        <w:pStyle w:val="ListNumber"/>
        <w:numPr>
          <w:ilvl w:val="0"/>
          <w:numId w:val="0"/>
        </w:numPr>
        <w:jc w:val="both"/>
      </w:pPr>
      <w:r w:rsidRPr="004F6A79">
        <w:rPr>
          <w:lang w:val="en-GB"/>
        </w:rPr>
        <w:t>Intermediate housing is homes for sale and rent provided at a cost above social rent, but below market levels subject to the criteria in the Affordable Housing definition above. These can include shared equity (shared ownership and equity loans), other low cost homes for sale and intermediate rent, but not affordable rented housing. Homes that do not meet the above definition of affordable housing, such as ‘low cost market’ housing, may not be considered as affordable housing for planning purposes.</w:t>
      </w:r>
    </w:p>
    <w:p w14:paraId="1F84FEE0" w14:textId="77777777" w:rsidR="0056784D" w:rsidRPr="00FE35BC" w:rsidRDefault="0056784D" w:rsidP="0056784D">
      <w:pPr>
        <w:pStyle w:val="BodyText"/>
        <w:jc w:val="both"/>
        <w:rPr>
          <w:b/>
        </w:rPr>
      </w:pPr>
      <w:r w:rsidRPr="00FE35BC">
        <w:rPr>
          <w:b/>
        </w:rPr>
        <w:t>Life Stage modelling</w:t>
      </w:r>
    </w:p>
    <w:p w14:paraId="4C329E8E" w14:textId="77777777" w:rsidR="0056784D" w:rsidRPr="00727EA6" w:rsidRDefault="0056784D" w:rsidP="0056784D">
      <w:pPr>
        <w:pStyle w:val="BodyText"/>
        <w:jc w:val="both"/>
      </w:pPr>
      <w:r w:rsidRPr="00FE35BC">
        <w:t xml:space="preserve">Life Stage modelling is forecasting need for dwellings </w:t>
      </w:r>
      <w:r>
        <w:t xml:space="preserve">of different sizes </w:t>
      </w:r>
      <w:r w:rsidRPr="00FE35BC">
        <w:t>at the end of the Plan period</w:t>
      </w:r>
      <w:r>
        <w:t xml:space="preserve"> </w:t>
      </w:r>
      <w:r w:rsidRPr="00FE35BC">
        <w:t xml:space="preserve">on the basis of changes in the distribution of household types </w:t>
      </w:r>
      <w:r>
        <w:t>and key age brackets (life stages) within the NA. Given the shared behavioural patterns associated with these metrics, they provide a helpful way of understanding and predicting future community need</w:t>
      </w:r>
      <w:r w:rsidRPr="00FE35BC">
        <w:t xml:space="preserve">. </w:t>
      </w:r>
      <w:r>
        <w:t>This</w:t>
      </w:r>
      <w:r w:rsidRPr="00FE35BC">
        <w:t xml:space="preserve"> data is not a</w:t>
      </w:r>
      <w:r>
        <w:t xml:space="preserve">vailable at the parish level so </w:t>
      </w:r>
      <w:r w:rsidRPr="00FE35BC">
        <w:t>District level data is employed on the basis of the NA falling within a defined Housing Market Area.</w:t>
      </w:r>
    </w:p>
    <w:p w14:paraId="4CF99CDB" w14:textId="77777777" w:rsidR="0056784D" w:rsidRPr="00EF2490" w:rsidRDefault="0056784D" w:rsidP="0056784D">
      <w:pPr>
        <w:pStyle w:val="BodyText"/>
        <w:jc w:val="both"/>
        <w:rPr>
          <w:b/>
        </w:rPr>
      </w:pPr>
      <w:r>
        <w:rPr>
          <w:b/>
        </w:rPr>
        <w:t>Life-t</w:t>
      </w:r>
      <w:r w:rsidRPr="00EF2490">
        <w:rPr>
          <w:b/>
        </w:rPr>
        <w:t>ime Homes</w:t>
      </w:r>
    </w:p>
    <w:p w14:paraId="1F034D49" w14:textId="77777777" w:rsidR="0056784D" w:rsidRPr="00D74287" w:rsidRDefault="0056784D" w:rsidP="0056784D">
      <w:pPr>
        <w:pStyle w:val="BodyText"/>
        <w:jc w:val="both"/>
      </w:pPr>
      <w:r w:rsidRPr="00D74287">
        <w:t xml:space="preserve">Dwellings constructed to make them more flexible, convenient adaptable and accessible than most ‘normal’ houses, usually according to the Lifetime Homes Standard, 16 design criteria that can be applied to new homes at minimal cost: </w:t>
      </w:r>
      <w:hyperlink r:id="rId14" w:history="1">
        <w:r w:rsidRPr="00D74287">
          <w:rPr>
            <w:rStyle w:val="Hyperlink"/>
            <w:rFonts w:cs="Arial"/>
          </w:rPr>
          <w:t>http://www.lifetimehomes.org.uk/</w:t>
        </w:r>
      </w:hyperlink>
      <w:r w:rsidRPr="00D74287">
        <w:t xml:space="preserve">. </w:t>
      </w:r>
    </w:p>
    <w:p w14:paraId="5CB8A72F" w14:textId="77777777" w:rsidR="0056784D" w:rsidRDefault="0056784D" w:rsidP="0056784D">
      <w:pPr>
        <w:pStyle w:val="BodyText"/>
        <w:jc w:val="both"/>
        <w:rPr>
          <w:b/>
        </w:rPr>
      </w:pPr>
      <w:r>
        <w:rPr>
          <w:b/>
        </w:rPr>
        <w:t xml:space="preserve">Life-time Neighbourhoods </w:t>
      </w:r>
    </w:p>
    <w:p w14:paraId="32F2A2B9" w14:textId="77777777" w:rsidR="0056784D" w:rsidRPr="00A12D41" w:rsidRDefault="0056784D" w:rsidP="0056784D">
      <w:pPr>
        <w:pStyle w:val="BodyText"/>
        <w:jc w:val="both"/>
      </w:pPr>
      <w:r w:rsidRPr="00A12D41">
        <w:t>Lifetime neighbourhood</w:t>
      </w:r>
      <w:r>
        <w:t>s</w:t>
      </w:r>
      <w:r w:rsidRPr="00A12D41">
        <w:t xml:space="preserve"> extend the principles of Lifetime Homes into the wider neighbourhood to ensure the public realm is designed in such a way </w:t>
      </w:r>
      <w:r>
        <w:t xml:space="preserve">to be as inclusive as possible and </w:t>
      </w:r>
      <w:r w:rsidRPr="00A12D41">
        <w:t>designed to address the needs of older people</w:t>
      </w:r>
      <w:r>
        <w:t xml:space="preserve">, </w:t>
      </w:r>
      <w:r w:rsidRPr="00A12D41">
        <w:t>for example providing more greenery and more walkable, better connected places.</w:t>
      </w:r>
    </w:p>
    <w:p w14:paraId="21595539" w14:textId="77777777" w:rsidR="0056784D" w:rsidRPr="00EF2490" w:rsidRDefault="0056784D" w:rsidP="0056784D">
      <w:pPr>
        <w:pStyle w:val="BodyText"/>
        <w:jc w:val="both"/>
        <w:rPr>
          <w:b/>
        </w:rPr>
      </w:pPr>
      <w:r w:rsidRPr="00EF2490">
        <w:rPr>
          <w:b/>
        </w:rPr>
        <w:t>Local Development Order</w:t>
      </w:r>
    </w:p>
    <w:p w14:paraId="7B272027" w14:textId="77777777" w:rsidR="0056784D" w:rsidRPr="00D74287" w:rsidRDefault="0056784D" w:rsidP="0056784D">
      <w:pPr>
        <w:pStyle w:val="BodyText"/>
        <w:jc w:val="both"/>
        <w:rPr>
          <w:lang w:val="en"/>
        </w:rPr>
      </w:pPr>
      <w:r w:rsidRPr="00D74287">
        <w:rPr>
          <w:lang w:val="en"/>
        </w:rPr>
        <w:t>An Order made by a local planning authority (under the Town and Country Planning Act 1990) that grants planning permission for a specific development proposal or classes of development.</w:t>
      </w:r>
    </w:p>
    <w:p w14:paraId="27097E11" w14:textId="77777777" w:rsidR="0056784D" w:rsidRPr="00EF2490" w:rsidRDefault="0056784D" w:rsidP="0056784D">
      <w:pPr>
        <w:pStyle w:val="BodyText"/>
        <w:jc w:val="both"/>
        <w:rPr>
          <w:b/>
          <w:bCs/>
        </w:rPr>
      </w:pPr>
      <w:r w:rsidRPr="00EF2490">
        <w:rPr>
          <w:b/>
          <w:bCs/>
        </w:rPr>
        <w:t>Local Enterprise Partnership</w:t>
      </w:r>
    </w:p>
    <w:p w14:paraId="32361C6E" w14:textId="77777777" w:rsidR="0056784D" w:rsidRPr="00D74287" w:rsidRDefault="0056784D" w:rsidP="0056784D">
      <w:pPr>
        <w:pStyle w:val="BodyText"/>
        <w:jc w:val="both"/>
        <w:rPr>
          <w:lang w:val="en"/>
        </w:rPr>
      </w:pPr>
      <w:r w:rsidRPr="00D74287">
        <w:rPr>
          <w:lang w:val="en"/>
        </w:rPr>
        <w:t>A body, designated by the Secretary of State for Communities and Local Government, established for the purpose of creating or improving the conditions for economic growth in an area.</w:t>
      </w:r>
    </w:p>
    <w:p w14:paraId="60ED8206" w14:textId="77777777" w:rsidR="0056784D" w:rsidRPr="00EF2490" w:rsidRDefault="0056784D" w:rsidP="0056784D">
      <w:pPr>
        <w:pStyle w:val="BodyText"/>
        <w:jc w:val="both"/>
        <w:rPr>
          <w:b/>
        </w:rPr>
      </w:pPr>
      <w:r w:rsidRPr="00EF2490">
        <w:rPr>
          <w:b/>
        </w:rPr>
        <w:t>Local Planning Authority</w:t>
      </w:r>
    </w:p>
    <w:p w14:paraId="12A206C2" w14:textId="77777777" w:rsidR="0056784D" w:rsidRPr="00D74287" w:rsidRDefault="0056784D" w:rsidP="0056784D">
      <w:pPr>
        <w:pStyle w:val="BodyText"/>
        <w:jc w:val="both"/>
        <w:rPr>
          <w:lang w:val="en"/>
        </w:rPr>
      </w:pPr>
      <w:r w:rsidRPr="00D74287">
        <w:rPr>
          <w:lang w:val="en"/>
        </w:rPr>
        <w:t xml:space="preserve">The public authority whose duty it is to carry out specific planning functions for a particular area. All references to local </w:t>
      </w:r>
      <w:r>
        <w:rPr>
          <w:lang w:val="en"/>
        </w:rPr>
        <w:t>planning authority apply to the District</w:t>
      </w:r>
      <w:r w:rsidRPr="00D74287">
        <w:rPr>
          <w:lang w:val="en"/>
        </w:rPr>
        <w:t xml:space="preserve"> council, London borough council, county council, Broads Authority, National Park Authority and the Greater London Authority, to the extent appropriate to their responsibilities.</w:t>
      </w:r>
    </w:p>
    <w:p w14:paraId="6CEA0D80" w14:textId="77777777" w:rsidR="0056784D" w:rsidRPr="00EF2490" w:rsidRDefault="0056784D" w:rsidP="0056784D">
      <w:pPr>
        <w:pStyle w:val="BodyText"/>
        <w:jc w:val="both"/>
        <w:rPr>
          <w:b/>
          <w:bCs/>
        </w:rPr>
      </w:pPr>
      <w:r w:rsidRPr="00EF2490">
        <w:rPr>
          <w:b/>
          <w:bCs/>
        </w:rPr>
        <w:t>Local Plan</w:t>
      </w:r>
    </w:p>
    <w:p w14:paraId="6A14DD36" w14:textId="77777777" w:rsidR="0056784D" w:rsidRDefault="0056784D" w:rsidP="0056784D">
      <w:pPr>
        <w:pStyle w:val="BodyText"/>
        <w:jc w:val="both"/>
        <w:rPr>
          <w:lang w:val="en"/>
        </w:rPr>
      </w:pPr>
      <w:r w:rsidRPr="00D74287">
        <w:rPr>
          <w:lang w:val="en"/>
        </w:rPr>
        <w:t>The plan for the future development of the local area, drawn up by the local planning authority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the 2004 Act.</w:t>
      </w:r>
    </w:p>
    <w:p w14:paraId="3D77483E" w14:textId="77777777" w:rsidR="0056784D" w:rsidRPr="00EF2490" w:rsidRDefault="0056784D" w:rsidP="0056784D">
      <w:pPr>
        <w:pStyle w:val="BodyText"/>
        <w:jc w:val="both"/>
        <w:rPr>
          <w:b/>
          <w:lang w:val="en"/>
        </w:rPr>
      </w:pPr>
      <w:r w:rsidRPr="00EF2490">
        <w:rPr>
          <w:b/>
          <w:lang w:val="en"/>
        </w:rPr>
        <w:lastRenderedPageBreak/>
        <w:t>Lower Quartile</w:t>
      </w:r>
    </w:p>
    <w:p w14:paraId="241B5462" w14:textId="77777777" w:rsidR="0056784D" w:rsidRDefault="0056784D" w:rsidP="0056784D">
      <w:pPr>
        <w:pStyle w:val="BodyText"/>
        <w:jc w:val="both"/>
        <w:rPr>
          <w:lang w:val="en"/>
        </w:rPr>
      </w:pPr>
      <w:r w:rsidRPr="00F56E61">
        <w:rPr>
          <w:lang w:val="en"/>
        </w:rPr>
        <w:t>The bottom 25% value, i.e. of all the properties sold, 25% were cheaper than this value and 75% were more expensive. The lower quartile price is used as an entry level price and is the recommended level used to evaluate affordability; for example for first time buyers.</w:t>
      </w:r>
      <w:r>
        <w:rPr>
          <w:lang w:val="en"/>
        </w:rPr>
        <w:t xml:space="preserve"> </w:t>
      </w:r>
    </w:p>
    <w:p w14:paraId="4780EF9E" w14:textId="77777777" w:rsidR="0056784D" w:rsidRPr="00EF2490" w:rsidRDefault="0056784D" w:rsidP="0056784D">
      <w:pPr>
        <w:pStyle w:val="BodyText"/>
        <w:jc w:val="both"/>
        <w:rPr>
          <w:b/>
          <w:lang w:val="en"/>
        </w:rPr>
      </w:pPr>
      <w:r w:rsidRPr="00EF2490">
        <w:rPr>
          <w:b/>
          <w:lang w:val="en"/>
        </w:rPr>
        <w:t>Lower Quartile Affordability Ratio</w:t>
      </w:r>
    </w:p>
    <w:p w14:paraId="38756D32" w14:textId="77777777" w:rsidR="0056784D" w:rsidRDefault="0056784D" w:rsidP="0056784D">
      <w:pPr>
        <w:pStyle w:val="BodyText"/>
        <w:jc w:val="both"/>
        <w:rPr>
          <w:lang w:val="en"/>
        </w:rPr>
      </w:pPr>
      <w:r w:rsidRPr="00DD4B5E">
        <w:rPr>
          <w:lang w:val="en"/>
        </w:rPr>
        <w:t>The Lower Quartile Affordability Ratio reflects the relationship between Lower Quartile Household Incomes and Lower Quartile House Prices, and is a key indicator of affordability of market housing for people on relatively low incomes.</w:t>
      </w:r>
    </w:p>
    <w:p w14:paraId="0BEAE71E" w14:textId="77777777" w:rsidR="0056784D" w:rsidRPr="00EF2490" w:rsidRDefault="0056784D" w:rsidP="0056784D">
      <w:pPr>
        <w:pStyle w:val="BodyText"/>
        <w:jc w:val="both"/>
        <w:rPr>
          <w:b/>
        </w:rPr>
      </w:pPr>
      <w:r w:rsidRPr="00EF2490">
        <w:rPr>
          <w:b/>
        </w:rPr>
        <w:t>Market Housing (PPG Definition)</w:t>
      </w:r>
    </w:p>
    <w:p w14:paraId="4DB1161B" w14:textId="77777777" w:rsidR="0056784D" w:rsidRDefault="0056784D" w:rsidP="0056784D">
      <w:pPr>
        <w:pStyle w:val="BodyText"/>
        <w:jc w:val="both"/>
      </w:pPr>
      <w:r w:rsidRPr="00D74287">
        <w:t>Market housing is housing which is built by developers (which may be private companies or housing associations, or Private Registered Providers), for the purposes of sale (or rent) on the open market. It is the opposite of affordable housing.</w:t>
      </w:r>
    </w:p>
    <w:p w14:paraId="1DA9EA18" w14:textId="77777777" w:rsidR="0056784D" w:rsidRPr="00EF2490" w:rsidRDefault="0056784D" w:rsidP="0056784D">
      <w:pPr>
        <w:pStyle w:val="BodyText"/>
        <w:jc w:val="both"/>
        <w:rPr>
          <w:b/>
        </w:rPr>
      </w:pPr>
      <w:r w:rsidRPr="00EF2490">
        <w:rPr>
          <w:b/>
        </w:rPr>
        <w:t>Mean (Average)</w:t>
      </w:r>
    </w:p>
    <w:p w14:paraId="1A865DDB" w14:textId="77777777" w:rsidR="0056784D" w:rsidRDefault="0056784D" w:rsidP="0056784D">
      <w:pPr>
        <w:pStyle w:val="BodyText"/>
        <w:jc w:val="both"/>
      </w:pPr>
      <w:r w:rsidRPr="00F56E61">
        <w:t>The sum of all values di</w:t>
      </w:r>
      <w:r>
        <w:t>vided by the number of values.</w:t>
      </w:r>
      <w:r w:rsidRPr="00F56E61">
        <w:t xml:space="preserve"> The more commonly used “average” measure as it includes all values, unlike the median</w:t>
      </w:r>
      <w:r>
        <w:t>.</w:t>
      </w:r>
    </w:p>
    <w:p w14:paraId="2FCB6ACF" w14:textId="77777777" w:rsidR="0056784D" w:rsidRPr="00EF2490" w:rsidRDefault="0056784D" w:rsidP="0056784D">
      <w:pPr>
        <w:pStyle w:val="BodyText"/>
        <w:jc w:val="both"/>
        <w:rPr>
          <w:b/>
        </w:rPr>
      </w:pPr>
      <w:r w:rsidRPr="00EF2490">
        <w:rPr>
          <w:b/>
        </w:rPr>
        <w:t>Median</w:t>
      </w:r>
    </w:p>
    <w:p w14:paraId="29CD4F48" w14:textId="77777777" w:rsidR="0056784D" w:rsidRDefault="0056784D" w:rsidP="0056784D">
      <w:pPr>
        <w:pStyle w:val="BodyText"/>
        <w:jc w:val="both"/>
      </w:pPr>
      <w:r w:rsidRPr="00EF2490">
        <w:t>The middle value, i.e. of all the properties sold, half were cheaper and half were more expensive. This is sometimes used instead of the mean average as it is not subject to skew by very large or very small statistical outliers.</w:t>
      </w:r>
    </w:p>
    <w:p w14:paraId="44674CF4" w14:textId="77777777" w:rsidR="0056784D" w:rsidRPr="00EF2490" w:rsidRDefault="0056784D" w:rsidP="0056784D">
      <w:pPr>
        <w:pStyle w:val="BodyText"/>
        <w:jc w:val="both"/>
        <w:rPr>
          <w:b/>
          <w:lang w:val="en"/>
        </w:rPr>
      </w:pPr>
      <w:r>
        <w:rPr>
          <w:b/>
          <w:lang w:val="en"/>
        </w:rPr>
        <w:t>Median</w:t>
      </w:r>
      <w:r w:rsidRPr="00EF2490">
        <w:rPr>
          <w:b/>
          <w:lang w:val="en"/>
        </w:rPr>
        <w:t xml:space="preserve"> Affordability Ratio</w:t>
      </w:r>
    </w:p>
    <w:p w14:paraId="4A0017A3" w14:textId="77777777" w:rsidR="0056784D" w:rsidRDefault="0056784D" w:rsidP="0056784D">
      <w:pPr>
        <w:pStyle w:val="BodyText"/>
        <w:jc w:val="both"/>
        <w:rPr>
          <w:lang w:val="en"/>
        </w:rPr>
      </w:pPr>
      <w:r w:rsidRPr="00DD4B5E">
        <w:rPr>
          <w:lang w:val="en"/>
        </w:rPr>
        <w:t xml:space="preserve">The Lower Quartile Affordability Ratio reflects the relationship between </w:t>
      </w:r>
      <w:r>
        <w:rPr>
          <w:lang w:val="en"/>
        </w:rPr>
        <w:t>Median</w:t>
      </w:r>
      <w:r w:rsidRPr="00DD4B5E">
        <w:rPr>
          <w:lang w:val="en"/>
        </w:rPr>
        <w:t xml:space="preserve"> Household Incomes and </w:t>
      </w:r>
      <w:r>
        <w:rPr>
          <w:lang w:val="en"/>
        </w:rPr>
        <w:t>Median</w:t>
      </w:r>
      <w:r w:rsidRPr="00DD4B5E">
        <w:rPr>
          <w:lang w:val="en"/>
        </w:rPr>
        <w:t xml:space="preserve"> House Prices, and is a key indicator of affordability of market h</w:t>
      </w:r>
      <w:r>
        <w:rPr>
          <w:lang w:val="en"/>
        </w:rPr>
        <w:t xml:space="preserve">ousing for people on middle-range </w:t>
      </w:r>
      <w:r w:rsidRPr="00DD4B5E">
        <w:rPr>
          <w:lang w:val="en"/>
        </w:rPr>
        <w:t>incomes.</w:t>
      </w:r>
    </w:p>
    <w:p w14:paraId="0097B0BE" w14:textId="77777777" w:rsidR="0056784D" w:rsidRPr="00EF2490" w:rsidRDefault="0056784D" w:rsidP="0056784D">
      <w:pPr>
        <w:pStyle w:val="BodyText"/>
        <w:jc w:val="both"/>
        <w:rPr>
          <w:b/>
        </w:rPr>
      </w:pPr>
      <w:r w:rsidRPr="00EF2490">
        <w:rPr>
          <w:b/>
        </w:rPr>
        <w:t>Mortgage Ratio</w:t>
      </w:r>
    </w:p>
    <w:p w14:paraId="56642B69" w14:textId="77777777" w:rsidR="0056784D" w:rsidRPr="00D74287" w:rsidRDefault="0056784D" w:rsidP="0056784D">
      <w:pPr>
        <w:pStyle w:val="BodyText"/>
        <w:jc w:val="both"/>
      </w:pPr>
      <w:r w:rsidRPr="00445AF7">
        <w:rPr>
          <w:color w:val="000000"/>
        </w:rPr>
        <w:t>The mortgage ratio is the ratio of mortgage value to income which is typically deemed acceptable by banks. Approximately 75% of all mortgage lending ratios fell below 4 in recent years</w:t>
      </w:r>
      <w:r w:rsidRPr="00D74287">
        <w:rPr>
          <w:rStyle w:val="FootnoteReference"/>
          <w:rFonts w:cs="Arial"/>
        </w:rPr>
        <w:footnoteReference w:id="28"/>
      </w:r>
      <w:r w:rsidRPr="00445AF7">
        <w:rPr>
          <w:color w:val="000000"/>
        </w:rPr>
        <w:t>, i.e. the total value of the mortgage was less than 4 times the annual income of the person who was granted the mortgage.</w:t>
      </w:r>
    </w:p>
    <w:p w14:paraId="5BE23270" w14:textId="77777777" w:rsidR="0056784D" w:rsidRPr="00EF2490" w:rsidRDefault="0056784D" w:rsidP="0056784D">
      <w:pPr>
        <w:pStyle w:val="BodyText"/>
        <w:jc w:val="both"/>
        <w:rPr>
          <w:b/>
          <w:bCs/>
        </w:rPr>
      </w:pPr>
      <w:r w:rsidRPr="00EF2490">
        <w:rPr>
          <w:b/>
          <w:bCs/>
        </w:rPr>
        <w:t>Neighbourhood Plan</w:t>
      </w:r>
    </w:p>
    <w:p w14:paraId="0FB5C915" w14:textId="77777777" w:rsidR="0056784D" w:rsidRPr="00D74287" w:rsidRDefault="0056784D" w:rsidP="0056784D">
      <w:pPr>
        <w:pStyle w:val="BodyText"/>
        <w:jc w:val="both"/>
        <w:rPr>
          <w:lang w:val="en"/>
        </w:rPr>
      </w:pPr>
      <w:r w:rsidRPr="00D74287">
        <w:rPr>
          <w:lang w:val="en"/>
        </w:rPr>
        <w:t xml:space="preserve">A plan prepared by a Parish </w:t>
      </w:r>
      <w:r>
        <w:rPr>
          <w:lang w:val="en"/>
        </w:rPr>
        <w:t xml:space="preserve">or Town </w:t>
      </w:r>
      <w:r w:rsidRPr="00D74287">
        <w:rPr>
          <w:lang w:val="en"/>
        </w:rPr>
        <w:t>Council or Neighbourhood Forum for a particular neighbourhood area (made under the Planning and Compulsory Purchase Act 2004).</w:t>
      </w:r>
    </w:p>
    <w:p w14:paraId="4BEFEEAA" w14:textId="77777777" w:rsidR="0056784D" w:rsidRPr="00EF2490" w:rsidRDefault="0056784D" w:rsidP="0056784D">
      <w:pPr>
        <w:pStyle w:val="BodyText"/>
        <w:jc w:val="both"/>
        <w:rPr>
          <w:b/>
          <w:lang w:val="en"/>
        </w:rPr>
      </w:pPr>
      <w:r w:rsidRPr="00EF2490">
        <w:rPr>
          <w:b/>
          <w:lang w:val="en"/>
        </w:rPr>
        <w:t>Older People</w:t>
      </w:r>
    </w:p>
    <w:p w14:paraId="4EA3C6E6" w14:textId="77777777" w:rsidR="0056784D" w:rsidRPr="00D74287" w:rsidRDefault="0056784D" w:rsidP="0056784D">
      <w:pPr>
        <w:pStyle w:val="BodyText"/>
        <w:jc w:val="both"/>
        <w:rPr>
          <w:lang w:val="en"/>
        </w:rPr>
      </w:pPr>
      <w:r w:rsidRPr="00D74287">
        <w:rPr>
          <w:lang w:val="en"/>
        </w:rPr>
        <w:t>People over retirement age, including the active, newly-retired through to the very frail elderly, whose housing needs can encompass accessible, adaptable general needs housing for those looking to downsize from family housing and the full range of retirement and specialised housing for those with support or care needs.</w:t>
      </w:r>
    </w:p>
    <w:p w14:paraId="7C1248E8" w14:textId="77777777" w:rsidR="0056784D" w:rsidRPr="00EF2490" w:rsidRDefault="0056784D" w:rsidP="0056784D">
      <w:pPr>
        <w:pStyle w:val="BodyText"/>
        <w:jc w:val="both"/>
        <w:rPr>
          <w:b/>
          <w:lang w:val="en"/>
        </w:rPr>
      </w:pPr>
      <w:r w:rsidRPr="00EF2490">
        <w:rPr>
          <w:b/>
          <w:lang w:val="en"/>
        </w:rPr>
        <w:t>Output Area/Lower Super Output Area/Middle Super Output Area</w:t>
      </w:r>
    </w:p>
    <w:p w14:paraId="6483E6F0" w14:textId="77777777" w:rsidR="0056784D" w:rsidRPr="00D74287" w:rsidRDefault="0056784D" w:rsidP="0056784D">
      <w:pPr>
        <w:pStyle w:val="BodyText"/>
        <w:jc w:val="both"/>
        <w:rPr>
          <w:lang w:val="en"/>
        </w:rPr>
      </w:pPr>
      <w:r w:rsidRPr="00D74287">
        <w:rPr>
          <w:lang w:val="en"/>
        </w:rPr>
        <w:t>An output area is the lowest level of geography for publishing statistics, and is the core geography from which statistics for other geographies are built. Output areas were created for England and Wales from the 2001 Census data, by grouping a number of households and populations together so that each output area's population is roughly the same. 175,434 output areas were created from the 2001 Census data, each containing a minimum of 100 persons with an average of 300 persons.  Lower Super Output Areas consist of higher geographies of between 1,000-1,500 persons (made up of a number of individual Output Areas) and Middle Super Output Areas are higher than this, containing between 5,000 and 7,200 people, and made up of individual Lower Layer Super Output Areas. Some statistics are only available down to Middle Layer Super Output Area level, meaning that they are not available for individual Output Areas or parishes.</w:t>
      </w:r>
    </w:p>
    <w:p w14:paraId="333F6C5D" w14:textId="77777777" w:rsidR="0056784D" w:rsidRDefault="0056784D" w:rsidP="0056784D">
      <w:pPr>
        <w:pStyle w:val="BodyText"/>
        <w:jc w:val="both"/>
        <w:rPr>
          <w:b/>
        </w:rPr>
      </w:pPr>
    </w:p>
    <w:p w14:paraId="232D0A32" w14:textId="77777777" w:rsidR="0056784D" w:rsidRDefault="0056784D" w:rsidP="0056784D">
      <w:pPr>
        <w:pStyle w:val="BodyText"/>
        <w:jc w:val="both"/>
        <w:rPr>
          <w:b/>
        </w:rPr>
      </w:pPr>
    </w:p>
    <w:p w14:paraId="11ECF4E9" w14:textId="77777777" w:rsidR="0056784D" w:rsidRPr="00EF2490" w:rsidRDefault="0056784D" w:rsidP="0056784D">
      <w:pPr>
        <w:pStyle w:val="BodyText"/>
        <w:jc w:val="both"/>
        <w:rPr>
          <w:b/>
        </w:rPr>
      </w:pPr>
      <w:r w:rsidRPr="00EF2490">
        <w:rPr>
          <w:b/>
        </w:rPr>
        <w:lastRenderedPageBreak/>
        <w:t>Overcrowding</w:t>
      </w:r>
    </w:p>
    <w:p w14:paraId="4A7C52D4" w14:textId="77777777" w:rsidR="0056784D" w:rsidRPr="00D74287" w:rsidRDefault="0056784D" w:rsidP="0056784D">
      <w:pPr>
        <w:pStyle w:val="BodyText"/>
        <w:jc w:val="both"/>
      </w:pPr>
      <w:r w:rsidRPr="00D74287">
        <w:t>There is no one agreed definition of overcrowding, however, utilising the Government’s bedroom standard, overcrowding is deemed to be in households where there is more than one person in the household per room (excluding kitchens, bathrooms, halls and storage areas). As such, a home with one bedroom and one living room and one kitchen would be deemed overcrowded if three adults were living there.</w:t>
      </w:r>
    </w:p>
    <w:p w14:paraId="1E827419" w14:textId="77777777" w:rsidR="0056784D" w:rsidRPr="00EF2490" w:rsidRDefault="0056784D" w:rsidP="0056784D">
      <w:pPr>
        <w:pStyle w:val="BodyText"/>
        <w:jc w:val="both"/>
        <w:rPr>
          <w:b/>
          <w:lang w:val="en"/>
        </w:rPr>
      </w:pPr>
      <w:r w:rsidRPr="00EF2490">
        <w:rPr>
          <w:b/>
          <w:lang w:val="en"/>
        </w:rPr>
        <w:t>Planning Condition</w:t>
      </w:r>
    </w:p>
    <w:p w14:paraId="0DAC97D6" w14:textId="77777777" w:rsidR="0056784D" w:rsidRPr="00B35544" w:rsidRDefault="0056784D" w:rsidP="0056784D">
      <w:pPr>
        <w:pStyle w:val="BodyText"/>
        <w:jc w:val="both"/>
      </w:pPr>
      <w:r w:rsidRPr="00D74287">
        <w:rPr>
          <w:lang w:val="en"/>
        </w:rPr>
        <w:t xml:space="preserve">A condition imposed on a grant of planning permission (in accordance with the Town and Country Planning Act </w:t>
      </w:r>
      <w:r w:rsidRPr="00B35544">
        <w:t>1990) or a condition included in a Local Development Order or Neighbourhood Development Order.</w:t>
      </w:r>
    </w:p>
    <w:p w14:paraId="31499B6C" w14:textId="77777777" w:rsidR="0056784D" w:rsidRPr="00EF2490" w:rsidRDefault="0056784D" w:rsidP="0056784D">
      <w:pPr>
        <w:pStyle w:val="BodyText"/>
        <w:jc w:val="both"/>
        <w:rPr>
          <w:b/>
        </w:rPr>
      </w:pPr>
      <w:r w:rsidRPr="00EF2490">
        <w:rPr>
          <w:b/>
        </w:rPr>
        <w:t>Planning Obligation</w:t>
      </w:r>
    </w:p>
    <w:p w14:paraId="6FDC5E4A" w14:textId="77777777" w:rsidR="0056784D" w:rsidRPr="00B35544" w:rsidRDefault="0056784D" w:rsidP="0056784D">
      <w:pPr>
        <w:pStyle w:val="BodyText"/>
        <w:jc w:val="both"/>
      </w:pPr>
      <w:r w:rsidRPr="00B35544">
        <w:t>A legally enforceable obligation entered into under section 106 of the Town and Country Planning Act 1990 to mitigate the impacts of a development proposal.</w:t>
      </w:r>
    </w:p>
    <w:p w14:paraId="741A37D6" w14:textId="77777777" w:rsidR="0056784D" w:rsidRPr="00EF2490" w:rsidRDefault="0056784D" w:rsidP="0056784D">
      <w:pPr>
        <w:pStyle w:val="BodyText"/>
        <w:jc w:val="both"/>
        <w:rPr>
          <w:b/>
        </w:rPr>
      </w:pPr>
      <w:r w:rsidRPr="00EF2490">
        <w:rPr>
          <w:b/>
        </w:rPr>
        <w:t>Purchase Threshold</w:t>
      </w:r>
    </w:p>
    <w:p w14:paraId="2CDD0FCB" w14:textId="77777777" w:rsidR="0056784D" w:rsidRPr="00D74287" w:rsidRDefault="0056784D" w:rsidP="0056784D">
      <w:pPr>
        <w:pStyle w:val="BodyText"/>
        <w:jc w:val="both"/>
      </w:pPr>
      <w:r w:rsidRPr="00D74287">
        <w:t xml:space="preserve">Purchase thresholds are calculated by netting 10% off the entry house price to reflect purchase deposit. The resulting cost is divided by 4 to reflect the standard household income requirement to access mortgage products. </w:t>
      </w:r>
    </w:p>
    <w:p w14:paraId="37B3ACBF" w14:textId="77777777" w:rsidR="0056784D" w:rsidRPr="00EF2490" w:rsidRDefault="0056784D" w:rsidP="0056784D">
      <w:pPr>
        <w:pStyle w:val="BodyText"/>
        <w:jc w:val="both"/>
        <w:rPr>
          <w:b/>
        </w:rPr>
      </w:pPr>
      <w:r w:rsidRPr="00EF2490">
        <w:rPr>
          <w:b/>
        </w:rPr>
        <w:t>Proportionate and Robust Evidence (PPG Definition)</w:t>
      </w:r>
    </w:p>
    <w:p w14:paraId="02F6F89A" w14:textId="77777777" w:rsidR="0056784D" w:rsidRDefault="0056784D" w:rsidP="0056784D">
      <w:pPr>
        <w:pStyle w:val="BodyText"/>
        <w:jc w:val="both"/>
      </w:pPr>
      <w:r w:rsidRPr="00D74287">
        <w:t>Proportionate and robust evidence is evidence which is deemed appropriate in scale, scope and depth for the purposes of neighbourhood planning, sufficient so as to meet the Basic Conditions, as well as robust enough to withstand legal challenge. It is referred to a number of times in the PPG and its definition and interpretation relies on the judgement of professionals such as Neighbourhood Plan Examiners.</w:t>
      </w:r>
      <w:r>
        <w:t xml:space="preserve"> </w:t>
      </w:r>
    </w:p>
    <w:p w14:paraId="57ABDDEC" w14:textId="77777777" w:rsidR="0056784D" w:rsidRPr="00EF2490" w:rsidRDefault="0056784D" w:rsidP="0056784D">
      <w:pPr>
        <w:pStyle w:val="BodyText"/>
        <w:jc w:val="both"/>
        <w:rPr>
          <w:b/>
        </w:rPr>
      </w:pPr>
      <w:r w:rsidRPr="00EF2490">
        <w:rPr>
          <w:b/>
        </w:rPr>
        <w:t>Private Rented</w:t>
      </w:r>
    </w:p>
    <w:p w14:paraId="776D867E" w14:textId="77777777" w:rsidR="0056784D" w:rsidRPr="00D74287" w:rsidRDefault="0056784D" w:rsidP="0056784D">
      <w:pPr>
        <w:pStyle w:val="BodyText"/>
        <w:jc w:val="both"/>
      </w:pPr>
      <w:r w:rsidRPr="00F56E61">
        <w:t>The Census</w:t>
      </w:r>
      <w:r>
        <w:t xml:space="preserve"> tenure private rented includes a range of different living situations in practice, such as private rented/ other including </w:t>
      </w:r>
      <w:r w:rsidRPr="00F56E61">
        <w:t xml:space="preserve">households living “rent free”. Around 20% </w:t>
      </w:r>
      <w:r>
        <w:t>of the private rented sector is</w:t>
      </w:r>
      <w:r w:rsidRPr="00F56E61">
        <w:t xml:space="preserve"> in this category, which will have included some benefit claimants whose housing benefit at the time was paid directly to their landlord. </w:t>
      </w:r>
      <w:r>
        <w:t>This could mean people whose rent is paid by their employer, including some people in the armed forces</w:t>
      </w:r>
      <w:r w:rsidRPr="00F56E61">
        <w:t>. Some housing association tenants may also have been counted as living in the private rented sector because of confusion about what a housing association is.</w:t>
      </w:r>
    </w:p>
    <w:p w14:paraId="3FCD85DC" w14:textId="77777777" w:rsidR="0056784D" w:rsidRPr="00EF2490" w:rsidRDefault="0056784D" w:rsidP="0056784D">
      <w:pPr>
        <w:pStyle w:val="BodyText"/>
        <w:jc w:val="both"/>
        <w:rPr>
          <w:b/>
          <w:lang w:val="en"/>
        </w:rPr>
      </w:pPr>
      <w:r w:rsidRPr="00EF2490">
        <w:rPr>
          <w:b/>
          <w:lang w:val="en"/>
        </w:rPr>
        <w:t>Rural Exception Sites</w:t>
      </w:r>
    </w:p>
    <w:p w14:paraId="4A952CF3" w14:textId="77777777" w:rsidR="0056784D" w:rsidRDefault="0056784D" w:rsidP="0056784D">
      <w:pPr>
        <w:pStyle w:val="BodyText"/>
        <w:jc w:val="both"/>
        <w:rPr>
          <w:lang w:val="en"/>
        </w:rPr>
      </w:pPr>
      <w:r w:rsidRPr="00D74287">
        <w:rPr>
          <w:lang w:val="en"/>
        </w:rPr>
        <w:t>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Small numbers of market homes may be allowed at the local authority’s discretion, for example where essential to enable the delivery of affordable units without grant funding.</w:t>
      </w:r>
    </w:p>
    <w:p w14:paraId="57EA52EC" w14:textId="77777777" w:rsidR="0056784D" w:rsidRPr="00EF2490" w:rsidRDefault="0056784D" w:rsidP="0056784D">
      <w:pPr>
        <w:pStyle w:val="BodyText"/>
        <w:jc w:val="both"/>
        <w:rPr>
          <w:b/>
          <w:lang w:val="en"/>
        </w:rPr>
      </w:pPr>
      <w:r w:rsidRPr="00EF2490">
        <w:rPr>
          <w:b/>
          <w:lang w:val="en"/>
        </w:rPr>
        <w:t>Shared Ownership</w:t>
      </w:r>
    </w:p>
    <w:p w14:paraId="537C101C" w14:textId="77777777" w:rsidR="0056784D" w:rsidRPr="00D74287" w:rsidRDefault="0056784D" w:rsidP="0056784D">
      <w:pPr>
        <w:pStyle w:val="BodyText"/>
        <w:jc w:val="both"/>
        <w:rPr>
          <w:lang w:val="en"/>
        </w:rPr>
      </w:pPr>
      <w:r>
        <w:rPr>
          <w:lang w:val="en"/>
        </w:rPr>
        <w:t>Housing</w:t>
      </w:r>
      <w:r w:rsidRPr="00F56E61">
        <w:rPr>
          <w:lang w:val="en"/>
        </w:rPr>
        <w:t xml:space="preserve"> where a purchaser part buys and part rents from a housing association or local authority. Typical purchase share is between 25% and 75%, and buyers are encouraged to buy the largest share they can afford. Generally applies to new build properties, but re</w:t>
      </w:r>
      <w:r w:rsidRPr="00F56E61">
        <w:rPr>
          <w:rFonts w:ascii="Cambria Math" w:hAnsi="Cambria Math" w:cs="Cambria Math"/>
          <w:lang w:val="en"/>
        </w:rPr>
        <w:t>‐</w:t>
      </w:r>
      <w:r w:rsidRPr="00F56E61">
        <w:rPr>
          <w:lang w:val="en"/>
        </w:rPr>
        <w:t>sales occasionally become available. There may be an opportunity to rent at intermediate rent level before purchasing a share in order to save/increase the deposit level</w:t>
      </w:r>
    </w:p>
    <w:p w14:paraId="5982DCFC" w14:textId="77777777" w:rsidR="0056784D" w:rsidRPr="00EF2490" w:rsidRDefault="0056784D" w:rsidP="0056784D">
      <w:pPr>
        <w:pStyle w:val="BodyText"/>
        <w:jc w:val="both"/>
        <w:rPr>
          <w:b/>
        </w:rPr>
      </w:pPr>
      <w:r w:rsidRPr="00EF2490">
        <w:rPr>
          <w:b/>
        </w:rPr>
        <w:t>Sheltered Housing</w:t>
      </w:r>
      <w:r w:rsidRPr="00EF2490">
        <w:rPr>
          <w:rStyle w:val="FootnoteReference"/>
          <w:rFonts w:cs="Arial"/>
          <w:b/>
        </w:rPr>
        <w:footnoteReference w:id="29"/>
      </w:r>
    </w:p>
    <w:p w14:paraId="0C648F15" w14:textId="77777777" w:rsidR="0056784D" w:rsidRPr="00D74287" w:rsidRDefault="0056784D" w:rsidP="0056784D">
      <w:pPr>
        <w:pStyle w:val="BodyText"/>
        <w:jc w:val="both"/>
      </w:pPr>
      <w:r w:rsidRPr="00D74287">
        <w:t>Sheltered housing (also known as retirement housing) means having your own flat or bungalow in a block, or on a small estate, where all the other residents are older people (usually over 55). With a few exceptions, all developments (or 'schemes') provide independent, self-contained homes with their own front doors. There are many different types of scheme, both to rent and to buy. They usually contain between 15 and 40 properties, and range in size from studio flats (or 'bedsits') through to 2 and 3 bedroomed. Properties in most schemes are designed to make life a little easier for older people - with features like raised electric sockets, lowered worktops, walk-in showers, and so on. Some will usually be designed to accommodate wheelchair users. And they are usually linked to an emergency alarm service (sometimes called 'community alarm service') to call help if needed. Many schemes also have their own 'manager' or 'warden', either living on-</w:t>
      </w:r>
      <w:r w:rsidRPr="00D74287">
        <w:lastRenderedPageBreak/>
        <w:t>site or nearby, whose job is to manage the scheme and help arrange any services residents need. Managed schemes will also usually have some shared or communal facilities such as a lounge for residents to meet, a laundry, a guest flat and a garden.</w:t>
      </w:r>
    </w:p>
    <w:p w14:paraId="08D1E2D0" w14:textId="77777777" w:rsidR="0056784D" w:rsidRPr="00EF2490" w:rsidRDefault="0056784D" w:rsidP="0056784D">
      <w:pPr>
        <w:pStyle w:val="BodyText"/>
        <w:jc w:val="both"/>
        <w:rPr>
          <w:b/>
          <w:bCs/>
        </w:rPr>
      </w:pPr>
      <w:r w:rsidRPr="00EF2490">
        <w:rPr>
          <w:b/>
          <w:bCs/>
        </w:rPr>
        <w:t>Strategic Housing Land Availability Assessment (NPPF Definition)</w:t>
      </w:r>
    </w:p>
    <w:p w14:paraId="76F6F24B" w14:textId="77777777" w:rsidR="0056784D" w:rsidRPr="00D74287" w:rsidRDefault="0056784D" w:rsidP="0056784D">
      <w:pPr>
        <w:pStyle w:val="BodyText"/>
        <w:jc w:val="both"/>
      </w:pPr>
      <w:r w:rsidRPr="00D74287">
        <w:t>A Strategic Housing Land Availability Assessment (SHLAA) is a document prepared by one or more local planning authorities to establish realistic assumptions about the availability, suitability and the likely economic viability of land to meet the identified need for housing over the plan period.  SHLAAs are sometimes also called LAA (Land Availability Assessments) or HELAAS (Housing and Economic Land Availability Assessments) so as to integrate the need to balance assessed housing and economic needs as described below.</w:t>
      </w:r>
    </w:p>
    <w:p w14:paraId="7ABA11F1" w14:textId="77777777" w:rsidR="0056784D" w:rsidRPr="00EF2490" w:rsidRDefault="0056784D" w:rsidP="0056784D">
      <w:pPr>
        <w:pStyle w:val="BodyText"/>
        <w:jc w:val="both"/>
        <w:rPr>
          <w:b/>
        </w:rPr>
      </w:pPr>
      <w:r w:rsidRPr="00EF2490">
        <w:rPr>
          <w:b/>
          <w:bCs/>
        </w:rPr>
        <w:t>Strategic Housing Market Assessment (NPPF Definition)</w:t>
      </w:r>
    </w:p>
    <w:p w14:paraId="4F4F3D91" w14:textId="77777777" w:rsidR="0056784D" w:rsidRPr="00D74287" w:rsidRDefault="0056784D" w:rsidP="0056784D">
      <w:pPr>
        <w:pStyle w:val="BodyText"/>
        <w:jc w:val="both"/>
      </w:pPr>
      <w:r w:rsidRPr="00D74287">
        <w:t>A Strategic Housing Market Assessment (SHMA) is a document prepared by one or more local planning authorities to assess their housing needs, usually across administrative boundaries to encompass the whole housing market area. The NPPF makes clear that SHMAs should identify the scale and mix of housing and the range of tenures the local population is likely to need over the plan period. Sometimes SHMAs are combined with Economic Development Needs Assessments to create documents known as HEDNAs (Housing and Economic Development Needs Assessments).</w:t>
      </w:r>
    </w:p>
    <w:p w14:paraId="2DF9B69F" w14:textId="77777777" w:rsidR="0056784D" w:rsidRPr="00EF2490" w:rsidRDefault="0056784D" w:rsidP="0056784D">
      <w:pPr>
        <w:pStyle w:val="BodyText"/>
        <w:jc w:val="both"/>
        <w:rPr>
          <w:b/>
        </w:rPr>
      </w:pPr>
      <w:r w:rsidRPr="00EF2490">
        <w:rPr>
          <w:b/>
        </w:rPr>
        <w:t>Specialist Housing for the Elderly</w:t>
      </w:r>
    </w:p>
    <w:p w14:paraId="5FDFCE85" w14:textId="77777777" w:rsidR="0056784D" w:rsidRDefault="0056784D" w:rsidP="0056784D">
      <w:pPr>
        <w:pStyle w:val="BodyText"/>
        <w:jc w:val="both"/>
      </w:pPr>
      <w:r w:rsidRPr="00D74287">
        <w:t>Specialist housing for the elderly, sometimes known as specialist accommodation for the elderly, encompasses a wide range of housing types specifically aimed at older people, which may often be restricted to those in certain older age groups (usually 55+ or 65+). This could include residential institutions, sometimes known as care homes, sheltered housing, extra care housing, retirement housing and a range of other potential types of housing which has been designed and built to serve the needs of older people, including often providing care or other additional services. This housing can be provided in a range of tenures (often on a rented or leasehold basis).</w:t>
      </w:r>
    </w:p>
    <w:p w14:paraId="2802BF93" w14:textId="77777777" w:rsidR="0056784D" w:rsidRPr="00EF2490" w:rsidRDefault="0056784D" w:rsidP="0056784D">
      <w:pPr>
        <w:pStyle w:val="BodyText"/>
        <w:jc w:val="both"/>
        <w:rPr>
          <w:b/>
        </w:rPr>
      </w:pPr>
      <w:r w:rsidRPr="00EF2490">
        <w:rPr>
          <w:b/>
        </w:rPr>
        <w:t>Social Rented Housing</w:t>
      </w:r>
    </w:p>
    <w:p w14:paraId="0C7C3C87" w14:textId="77777777" w:rsidR="0056784D" w:rsidRDefault="0056784D" w:rsidP="0056784D">
      <w:pPr>
        <w:pStyle w:val="BodyText"/>
        <w:jc w:val="both"/>
      </w:pPr>
      <w:r>
        <w:t>So</w:t>
      </w:r>
      <w:r w:rsidRPr="00F56E61">
        <w:t xml:space="preserve">cial rented housing is owned by local authorities and private registered providers (as defined in Section 80 of the Housing and Regeneration Act 2008.) for which guideline target rents are determined through the national rent regime. It may also be owned by other persons and provided under equivalent rental arrangements to the above, as agreed with </w:t>
      </w:r>
      <w:r>
        <w:t>the local authority or with Homes England.</w:t>
      </w:r>
      <w:r>
        <w:rPr>
          <w:rStyle w:val="FootnoteReference"/>
          <w:rFonts w:cs="Arial"/>
        </w:rPr>
        <w:footnoteReference w:id="30"/>
      </w:r>
    </w:p>
    <w:p w14:paraId="73471C6F" w14:textId="451FDCFA" w:rsidR="005508EA" w:rsidRDefault="005508EA" w:rsidP="005508EA">
      <w:pPr>
        <w:pStyle w:val="BodyText"/>
        <w:widowControl w:val="0"/>
        <w:jc w:val="both"/>
      </w:pPr>
    </w:p>
    <w:p w14:paraId="61C02193" w14:textId="2CB2D7E7" w:rsidR="005508EA" w:rsidRPr="004F6A79" w:rsidRDefault="005508EA" w:rsidP="004F6A79">
      <w:pPr>
        <w:pStyle w:val="BodyText"/>
        <w:sectPr w:rsidR="005508EA" w:rsidRPr="004F6A79" w:rsidSect="00273002">
          <w:headerReference w:type="default" r:id="rId15"/>
          <w:pgSz w:w="11907" w:h="16839" w:code="9"/>
          <w:pgMar w:top="1440" w:right="1080" w:bottom="1080" w:left="993" w:header="432" w:footer="432" w:gutter="0"/>
          <w:cols w:space="720"/>
          <w:docGrid w:linePitch="360"/>
        </w:sectPr>
      </w:pPr>
    </w:p>
    <w:p w14:paraId="1CDD42C9" w14:textId="77777777" w:rsidR="00E80CC8" w:rsidRPr="00B90B1C" w:rsidRDefault="00E80CC8" w:rsidP="00E80CC8">
      <w:pPr>
        <w:pStyle w:val="BodyText"/>
        <w:rPr>
          <w:b/>
          <w:bCs/>
          <w:lang w:val="en-US"/>
        </w:rPr>
      </w:pPr>
    </w:p>
    <w:p w14:paraId="6F57EAB0" w14:textId="77777777" w:rsidR="003B18BF" w:rsidRDefault="003B18BF" w:rsidP="003B18BF">
      <w:pPr>
        <w:pStyle w:val="BodyText"/>
      </w:pPr>
    </w:p>
    <w:p w14:paraId="1AD361B1" w14:textId="77777777" w:rsidR="00E80CC8" w:rsidRPr="003B18BF" w:rsidRDefault="00E80CC8" w:rsidP="003B18BF">
      <w:pPr>
        <w:pStyle w:val="BodyText"/>
      </w:pPr>
    </w:p>
    <w:p w14:paraId="3A57919A" w14:textId="77777777" w:rsidR="003B18BF" w:rsidRDefault="003B18BF" w:rsidP="000A14DC"/>
    <w:p w14:paraId="4C7993AA" w14:textId="77777777" w:rsidR="000D13AF" w:rsidRDefault="000D13AF" w:rsidP="000D13AF">
      <w:pPr>
        <w:pStyle w:val="BodyText"/>
      </w:pPr>
    </w:p>
    <w:p w14:paraId="2D63803E" w14:textId="77777777" w:rsidR="00460F70" w:rsidRDefault="00460F70" w:rsidP="005137B7"/>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E1B08" w:rsidRPr="004E1B08" w14:paraId="225D65EB" w14:textId="77777777" w:rsidTr="00DE18EB">
        <w:trPr>
          <w:trHeight w:val="4500"/>
        </w:trPr>
        <w:tc>
          <w:tcPr>
            <w:tcW w:w="5925" w:type="dxa"/>
            <w:shd w:val="clear" w:color="auto" w:fill="auto"/>
            <w:vAlign w:val="bottom"/>
          </w:tcPr>
          <w:p w14:paraId="5D3B9C58" w14:textId="77777777" w:rsidR="00FD6567" w:rsidRPr="00FD6567" w:rsidRDefault="00FD6567" w:rsidP="00FD6567">
            <w:pPr>
              <w:pStyle w:val="Coverfooter"/>
              <w:rPr>
                <w:color w:val="FFFFFF"/>
                <w:lang w:val="en-US"/>
              </w:rPr>
            </w:pPr>
            <w:bookmarkStart w:id="145" w:name="BackCoverText" w:colFirst="0" w:colLast="0"/>
            <w:r w:rsidRPr="00FD6567">
              <w:rPr>
                <w:color w:val="FFFFFF"/>
                <w:lang w:val="en-US"/>
              </w:rPr>
              <w:t>AECOM (NYSE: ACM) is a global provider of professional technical and management support services to a broad range of markets, including transportation, facilities, environmental, energy, water and government. With approximately 45,000 employees around the world, AECOM is a leader in all of the key markets that it serves. AECOM provides a blend of global reach, local knowledge, innovation, and collaborative technical excellence in delivering solutions that enhance and sustain the world’s built, natural, and social environments. A Fortune 500 company, AECOM serves Clients in more than 100 countries and has annual revenue in excess of $6 billion.</w:t>
            </w:r>
          </w:p>
          <w:p w14:paraId="52E9C34B" w14:textId="77777777" w:rsidR="00FD6567" w:rsidRPr="00FD6567" w:rsidRDefault="00FD6567" w:rsidP="00FD6567">
            <w:pPr>
              <w:pStyle w:val="Coverfooter"/>
              <w:rPr>
                <w:color w:val="FFFFFF"/>
                <w:lang w:val="en-US"/>
              </w:rPr>
            </w:pPr>
          </w:p>
          <w:p w14:paraId="6CF60097" w14:textId="77777777" w:rsidR="00FD6567" w:rsidRPr="00FD6567" w:rsidRDefault="00FD6567" w:rsidP="00FD6567">
            <w:pPr>
              <w:pStyle w:val="Coverfooter"/>
              <w:rPr>
                <w:color w:val="FFFFFF"/>
                <w:lang w:val="en-US"/>
              </w:rPr>
            </w:pPr>
            <w:r w:rsidRPr="00FD6567">
              <w:rPr>
                <w:color w:val="FFFFFF"/>
                <w:lang w:val="en-US"/>
              </w:rPr>
              <w:t>More information on AECOM and its services can be found at www.aecom.com.</w:t>
            </w:r>
          </w:p>
          <w:p w14:paraId="348193B9" w14:textId="77777777" w:rsidR="00DE18EB" w:rsidRPr="005A1F44" w:rsidRDefault="00DE18EB" w:rsidP="00CC56EE">
            <w:pPr>
              <w:pStyle w:val="Coverfooter"/>
              <w:rPr>
                <w:color w:val="FFFFFF"/>
              </w:rPr>
            </w:pPr>
          </w:p>
          <w:p w14:paraId="6A0CE537" w14:textId="77777777" w:rsidR="00DE18EB" w:rsidRPr="005A1F44" w:rsidRDefault="00DE18EB" w:rsidP="00CC56EE">
            <w:pPr>
              <w:pStyle w:val="Coverfooter"/>
              <w:rPr>
                <w:color w:val="FFFFFF"/>
              </w:rPr>
            </w:pPr>
          </w:p>
          <w:p w14:paraId="0BC253FD" w14:textId="77777777" w:rsidR="00493CF1" w:rsidRPr="005A1F44" w:rsidRDefault="005A1F44" w:rsidP="00CC56EE">
            <w:pPr>
              <w:pStyle w:val="Coverfooter"/>
              <w:rPr>
                <w:color w:val="FFFFFF"/>
              </w:rPr>
            </w:pPr>
            <w:bookmarkStart w:id="146" w:name="OfficeAddress"/>
            <w:r w:rsidRPr="005A1F44">
              <w:rPr>
                <w:color w:val="FFFFFF"/>
              </w:rPr>
              <w:t xml:space="preserve">aecom.com </w:t>
            </w:r>
            <w:bookmarkEnd w:id="146"/>
            <w:r w:rsidR="00493CF1" w:rsidRPr="005A1F44">
              <w:rPr>
                <w:color w:val="FFFFFF"/>
              </w:rPr>
              <w:t xml:space="preserve"> </w:t>
            </w:r>
          </w:p>
          <w:p w14:paraId="391CBEB1" w14:textId="77777777" w:rsidR="00493CF1" w:rsidRPr="005A1F44" w:rsidRDefault="00493CF1" w:rsidP="00CC56EE">
            <w:pPr>
              <w:pStyle w:val="Coverfooter"/>
              <w:rPr>
                <w:color w:val="FFFFFF"/>
              </w:rPr>
            </w:pPr>
          </w:p>
        </w:tc>
        <w:tc>
          <w:tcPr>
            <w:tcW w:w="3101" w:type="dxa"/>
            <w:shd w:val="clear" w:color="auto" w:fill="auto"/>
            <w:vAlign w:val="bottom"/>
          </w:tcPr>
          <w:p w14:paraId="1ECC6578" w14:textId="77777777" w:rsidR="00493CF1" w:rsidRPr="004E1B08" w:rsidRDefault="00493CF1" w:rsidP="00B965F1">
            <w:pPr>
              <w:pStyle w:val="Heading1"/>
              <w:numPr>
                <w:ilvl w:val="0"/>
                <w:numId w:val="0"/>
              </w:numPr>
              <w:ind w:left="851" w:hanging="851"/>
              <w:outlineLvl w:val="0"/>
            </w:pPr>
          </w:p>
        </w:tc>
      </w:tr>
      <w:bookmarkEnd w:id="145"/>
      <w:tr w:rsidR="004E1B08" w:rsidRPr="004E1B08" w14:paraId="7D249BD7" w14:textId="77777777" w:rsidTr="00DE18EB">
        <w:trPr>
          <w:trHeight w:val="508"/>
        </w:trPr>
        <w:tc>
          <w:tcPr>
            <w:tcW w:w="5925" w:type="dxa"/>
            <w:shd w:val="clear" w:color="auto" w:fill="auto"/>
            <w:vAlign w:val="bottom"/>
          </w:tcPr>
          <w:p w14:paraId="741B9A1F" w14:textId="77777777" w:rsidR="00DE18EB" w:rsidRPr="004E1B08" w:rsidRDefault="004E1B08" w:rsidP="00CC56EE">
            <w:pPr>
              <w:pStyle w:val="Coverfooter"/>
            </w:pPr>
            <w:r w:rsidRPr="004E1B08">
              <w:rPr>
                <w:noProof/>
                <w:lang w:eastAsia="en-GB"/>
              </w:rPr>
              <mc:AlternateContent>
                <mc:Choice Requires="wps">
                  <w:drawing>
                    <wp:anchor distT="0" distB="0" distL="114300" distR="114300" simplePos="0" relativeHeight="251661824" behindDoc="1" locked="0" layoutInCell="0" allowOverlap="0" wp14:anchorId="761957DB" wp14:editId="78196CC3">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CBF266" id="BackCoverBlue" o:spid="_x0000_s1026" style="position:absolute;margin-left:0;margin-top:0;width:477.85pt;height:817.8pt;z-index:-251654656;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14:paraId="61F4887A" w14:textId="77777777" w:rsidR="00DE18EB" w:rsidRPr="004E1B08" w:rsidRDefault="00DE18EB" w:rsidP="00CC56EE">
            <w:pPr>
              <w:pStyle w:val="Coverfooter"/>
            </w:pPr>
          </w:p>
        </w:tc>
      </w:tr>
    </w:tbl>
    <w:p w14:paraId="007B7A0D" w14:textId="77777777" w:rsidR="00493CF1" w:rsidRPr="005137B7" w:rsidRDefault="00493CF1" w:rsidP="005137B7"/>
    <w:sectPr w:rsidR="00493CF1" w:rsidRPr="005137B7" w:rsidSect="007B1029">
      <w:headerReference w:type="default" r:id="rId16"/>
      <w:pgSz w:w="11906" w:h="16838"/>
      <w:pgMar w:top="1134" w:right="1440" w:bottom="851" w:left="1440" w:header="426"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A5C418" w15:done="0"/>
  <w15:commentEx w15:paraId="21423B40" w15:done="0"/>
  <w15:commentEx w15:paraId="6B4173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A5C418" w16cid:durableId="20748CA4"/>
  <w16cid:commentId w16cid:paraId="21423B40" w16cid:durableId="20748CDF"/>
  <w16cid:commentId w16cid:paraId="6B4173A9" w16cid:durableId="2075AF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5200A" w14:textId="77777777" w:rsidR="00B15801" w:rsidRDefault="00B15801" w:rsidP="00253171">
      <w:pPr>
        <w:spacing w:line="240" w:lineRule="auto"/>
      </w:pPr>
      <w:r>
        <w:separator/>
      </w:r>
    </w:p>
  </w:endnote>
  <w:endnote w:type="continuationSeparator" w:id="0">
    <w:p w14:paraId="13DABEC9" w14:textId="77777777" w:rsidR="00B15801" w:rsidRDefault="00B15801"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7068D" w14:textId="77777777" w:rsidR="00465696" w:rsidRDefault="00465696"/>
  <w:tbl>
    <w:tblPr>
      <w:tblStyle w:val="Plaingrid"/>
      <w:tblW w:w="4819" w:type="pct"/>
      <w:tblLook w:val="04A0" w:firstRow="1" w:lastRow="0" w:firstColumn="1" w:lastColumn="0" w:noHBand="0" w:noVBand="1"/>
    </w:tblPr>
    <w:tblGrid>
      <w:gridCol w:w="5253"/>
      <w:gridCol w:w="3550"/>
    </w:tblGrid>
    <w:tr w:rsidR="00465696" w:rsidRPr="00B965F1" w14:paraId="4E758F47" w14:textId="77777777" w:rsidTr="008F6D54">
      <w:tc>
        <w:tcPr>
          <w:tcW w:w="5670" w:type="dxa"/>
        </w:tcPr>
        <w:p w14:paraId="2D83435D" w14:textId="77777777" w:rsidR="00465696" w:rsidRPr="00166D71" w:rsidRDefault="00B15801" w:rsidP="00166D71">
          <w:pPr>
            <w:pStyle w:val="Footer"/>
          </w:pPr>
          <w:fldSimple w:instr=" DOCPROPERTY  PreparedFor \* MERGEFORMAT ">
            <w:r w:rsidR="00465696">
              <w:t xml:space="preserve"> </w:t>
            </w:r>
          </w:fldSimple>
          <w:r w:rsidR="00465696">
            <w:t xml:space="preserve"> </w:t>
          </w:r>
          <w:r w:rsidR="00465696">
            <w:fldChar w:fldCharType="begin"/>
          </w:r>
          <w:r w:rsidR="00465696">
            <w:instrText xml:space="preserve"> DOCPROPERTY  ClientName \* MERGEFORMAT </w:instrText>
          </w:r>
          <w:r w:rsidR="00465696">
            <w:fldChar w:fldCharType="end"/>
          </w:r>
          <w:r w:rsidR="00465696" w:rsidRPr="00166D71">
            <w:t xml:space="preserve">  </w:t>
          </w:r>
          <w:fldSimple w:instr=" DOCPROPERTY  ClientNumber \* MERGEFORMAT ">
            <w:r w:rsidR="00465696">
              <w:t xml:space="preserve"> </w:t>
            </w:r>
          </w:fldSimple>
        </w:p>
        <w:p w14:paraId="1FBC0F18" w14:textId="3D161F19" w:rsidR="00465696" w:rsidRDefault="00465696" w:rsidP="008F6D54">
          <w:pPr>
            <w:pStyle w:val="Footer"/>
            <w:tabs>
              <w:tab w:val="clear" w:pos="9026"/>
              <w:tab w:val="right" w:pos="9498"/>
            </w:tabs>
          </w:pPr>
          <w:r>
            <w:fldChar w:fldCharType="begin"/>
          </w:r>
          <w:r>
            <w:instrText xml:space="preserve"> if </w:instrText>
          </w:r>
          <w:fldSimple w:instr=" DOCPROPERTY  ShowFilePath \* MERGEFORMAT ">
            <w:r>
              <w:instrText>0</w:instrText>
            </w:r>
          </w:fldSimple>
          <w:r>
            <w:instrText xml:space="preserve">  = 1  </w:instrText>
          </w:r>
          <w:fldSimple w:instr=" FILENAME \p   \* MERGEFORMAT ">
            <w:r>
              <w:instrText>Document2</w:instrText>
            </w:r>
          </w:fldSimple>
          <w:r>
            <w:instrText xml:space="preserve">  </w:instrTex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828" w:type="dxa"/>
          <w:vAlign w:val="bottom"/>
        </w:tcPr>
        <w:p w14:paraId="0C9BCA10" w14:textId="538738B7" w:rsidR="00465696" w:rsidRPr="00B965F1" w:rsidRDefault="00465696" w:rsidP="00F044DD">
          <w:pPr>
            <w:pStyle w:val="Footer"/>
            <w:jc w:val="right"/>
          </w:pPr>
          <w:r>
            <w:t xml:space="preserve">   </w:t>
          </w:r>
          <w:r w:rsidRPr="00B965F1">
            <w:fldChar w:fldCharType="begin"/>
          </w:r>
          <w:r w:rsidRPr="00B965F1">
            <w:instrText xml:space="preserve"> if </w:instrText>
          </w:r>
          <w:r w:rsidRPr="00B965F1">
            <w:fldChar w:fldCharType="begin"/>
          </w:r>
          <w:r w:rsidRPr="00B965F1">
            <w:instrText xml:space="preserve"> DOCPROPERTY  AdditionalCompanyName </w:instrText>
          </w:r>
          <w:r w:rsidRPr="00B965F1">
            <w:fldChar w:fldCharType="end"/>
          </w:r>
          <w:r w:rsidRPr="00B965F1">
            <w:instrText xml:space="preserve">  = "" "" "  </w:instrText>
          </w:r>
          <w:r w:rsidRPr="00B965F1">
            <w:rPr>
              <w:rFonts w:cstheme="minorHAnsi"/>
            </w:rPr>
            <w:instrText>|</w:instrText>
          </w:r>
          <w:r w:rsidRPr="00B965F1">
            <w:instrText xml:space="preserve">  "</w:instrText>
          </w:r>
          <w:r w:rsidRPr="00B965F1">
            <w:fldChar w:fldCharType="end"/>
          </w:r>
          <w:r w:rsidRPr="00B965F1">
            <w:fldChar w:fldCharType="begin"/>
          </w:r>
          <w:r w:rsidRPr="00B965F1">
            <w:instrText xml:space="preserve"> DOCPROPERTY  AdditionalCompanyName \* MERGEFORMAT </w:instrText>
          </w:r>
          <w:r w:rsidRPr="00B965F1">
            <w:fldChar w:fldCharType="end"/>
          </w:r>
        </w:p>
        <w:p w14:paraId="4FA38015" w14:textId="77777777" w:rsidR="00465696" w:rsidRPr="00B965F1" w:rsidRDefault="00465696" w:rsidP="00F044DD">
          <w:pPr>
            <w:pStyle w:val="Footer"/>
            <w:jc w:val="right"/>
          </w:pPr>
        </w:p>
      </w:tc>
    </w:tr>
  </w:tbl>
  <w:p w14:paraId="0F0674FB" w14:textId="77777777" w:rsidR="00465696" w:rsidRDefault="00465696" w:rsidP="008F6D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87E89" w14:textId="77777777" w:rsidR="00B15801" w:rsidRPr="00253171" w:rsidRDefault="00B15801"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14:paraId="1777742A" w14:textId="77777777" w:rsidR="00B15801" w:rsidRPr="00253171" w:rsidRDefault="00B15801"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14:paraId="4FBA1B61" w14:textId="77777777" w:rsidR="00465696" w:rsidRDefault="00465696" w:rsidP="004616EE">
      <w:pPr>
        <w:pStyle w:val="FootnoteText"/>
      </w:pPr>
      <w:r>
        <w:rPr>
          <w:rStyle w:val="FootnoteReference"/>
        </w:rPr>
        <w:footnoteRef/>
      </w:r>
      <w:r>
        <w:t xml:space="preserve"> Available at </w:t>
      </w:r>
      <w:hyperlink r:id="rId1" w:history="1">
        <w:r w:rsidRPr="009D7FCF">
          <w:rPr>
            <w:rStyle w:val="Hyperlink"/>
          </w:rPr>
          <w:t>https://www.babergh.gov.uk/assets/Strategic-Planning/Current-Evidence-Base/Ipswich-and-Waveney-Housing-Market-Areas-Strategic-Housing-Market-Assessment-Part-1-May-2017.pdf</w:t>
        </w:r>
      </w:hyperlink>
      <w:r>
        <w:t xml:space="preserve"> </w:t>
      </w:r>
    </w:p>
  </w:footnote>
  <w:footnote w:id="2">
    <w:p w14:paraId="31B938F9" w14:textId="77777777" w:rsidR="00465696" w:rsidRDefault="00465696" w:rsidP="004616EE">
      <w:pPr>
        <w:pStyle w:val="FootnoteText"/>
      </w:pPr>
      <w:r>
        <w:rPr>
          <w:rStyle w:val="FootnoteReference"/>
        </w:rPr>
        <w:footnoteRef/>
      </w:r>
      <w:r>
        <w:t xml:space="preserve"> Available at </w:t>
      </w:r>
      <w:hyperlink r:id="rId2" w:history="1">
        <w:r w:rsidRPr="009D7FCF">
          <w:rPr>
            <w:rStyle w:val="Hyperlink"/>
          </w:rPr>
          <w:t>https://www.babergh.gov.uk/assets/Strategic-Planning/Current-Evidence-Base/SHMA-Pt2-Sept-2017-2.pdf</w:t>
        </w:r>
      </w:hyperlink>
      <w:r>
        <w:t xml:space="preserve"> </w:t>
      </w:r>
    </w:p>
  </w:footnote>
  <w:footnote w:id="3">
    <w:p w14:paraId="29CB6F0B" w14:textId="77777777" w:rsidR="00465696" w:rsidRDefault="00465696" w:rsidP="004616EE">
      <w:pPr>
        <w:pStyle w:val="FootnoteText"/>
      </w:pPr>
      <w:r>
        <w:rPr>
          <w:rStyle w:val="FootnoteReference"/>
        </w:rPr>
        <w:footnoteRef/>
      </w:r>
      <w:r>
        <w:t xml:space="preserve"> Available at </w:t>
      </w:r>
      <w:hyperlink r:id="rId3" w:history="1">
        <w:r w:rsidRPr="009D7FCF">
          <w:rPr>
            <w:rStyle w:val="Hyperlink"/>
          </w:rPr>
          <w:t>https://www.babergh.gov.uk/assets/Strategic-Planning/Current-Evidence-Base/SHMA-Part-2-update-2019.pdf</w:t>
        </w:r>
      </w:hyperlink>
      <w:r>
        <w:t xml:space="preserve"> </w:t>
      </w:r>
    </w:p>
  </w:footnote>
  <w:footnote w:id="4">
    <w:p w14:paraId="4F8A7064" w14:textId="4FF7B7E0" w:rsidR="00465696" w:rsidRDefault="00465696" w:rsidP="00916CBC">
      <w:pPr>
        <w:pStyle w:val="FootnoteText"/>
      </w:pPr>
      <w:r>
        <w:rPr>
          <w:rStyle w:val="FootnoteReference"/>
        </w:rPr>
        <w:footnoteRef/>
      </w:r>
      <w:r>
        <w:t xml:space="preserve"> For example, where a neighbourhood area is designated at a late stage in the strategic policy-making process, or after strategic policies have been adopted; or in instances where strategic policies for housing are out of date.</w:t>
      </w:r>
    </w:p>
  </w:footnote>
  <w:footnote w:id="5">
    <w:p w14:paraId="0D068A4B" w14:textId="77777777" w:rsidR="00465696" w:rsidRDefault="00465696" w:rsidP="00916CBC">
      <w:pPr>
        <w:pStyle w:val="FootnoteText"/>
      </w:pPr>
      <w:r>
        <w:rPr>
          <w:rStyle w:val="FootnoteReference1"/>
        </w:rPr>
        <w:footnoteRef/>
      </w:r>
      <w:r>
        <w:t xml:space="preserve"> NPPF, paragraph 66, page 18</w:t>
      </w:r>
    </w:p>
  </w:footnote>
  <w:footnote w:id="6">
    <w:p w14:paraId="4EF40A2E" w14:textId="27BA6432" w:rsidR="00465696" w:rsidRDefault="00465696" w:rsidP="00916CBC">
      <w:pPr>
        <w:pStyle w:val="FootnoteText"/>
      </w:pPr>
      <w:r>
        <w:rPr>
          <w:rStyle w:val="FootnoteReference"/>
        </w:rPr>
        <w:footnoteRef/>
      </w:r>
      <w:r>
        <w:t xml:space="preserve"> Paragraph: 001 Reference ID: 2a-001-20190220, at </w:t>
      </w:r>
      <w:hyperlink r:id="rId4" w:history="1">
        <w:r>
          <w:rPr>
            <w:rStyle w:val="Hyperlink"/>
          </w:rPr>
          <w:t>https://www.gov.uk/guidance/housing-and-economic-development-needs-assessments</w:t>
        </w:r>
      </w:hyperlink>
    </w:p>
  </w:footnote>
  <w:footnote w:id="7">
    <w:p w14:paraId="033763A0" w14:textId="77777777" w:rsidR="00465696" w:rsidRDefault="00465696" w:rsidP="00916CBC">
      <w:pPr>
        <w:pStyle w:val="FootnoteText"/>
        <w:rPr>
          <w:color w:val="000000"/>
        </w:rPr>
      </w:pPr>
      <w:r>
        <w:rPr>
          <w:rStyle w:val="FootnoteReference1"/>
          <w:color w:val="000000"/>
        </w:rPr>
        <w:footnoteRef/>
      </w:r>
      <w:r>
        <w:rPr>
          <w:color w:val="000000"/>
        </w:rPr>
        <w:t xml:space="preserve"> </w:t>
      </w:r>
      <w:hyperlink r:id="rId5" w:history="1">
        <w:r>
          <w:rPr>
            <w:rStyle w:val="Hyperlink"/>
          </w:rPr>
          <w:t>https://www.gov.uk/guidance/housing-and-economic-development-needs-assessments</w:t>
        </w:r>
      </w:hyperlink>
      <w:r>
        <w:rPr>
          <w:color w:val="000000"/>
        </w:rPr>
        <w:t xml:space="preserve"> </w:t>
      </w:r>
    </w:p>
  </w:footnote>
  <w:footnote w:id="8">
    <w:p w14:paraId="7EF5AD97" w14:textId="77777777" w:rsidR="00465696" w:rsidRDefault="00465696" w:rsidP="00916CBC">
      <w:pPr>
        <w:pStyle w:val="FootnoteText"/>
      </w:pPr>
      <w:r>
        <w:rPr>
          <w:rStyle w:val="FootnoteReference"/>
        </w:rPr>
        <w:footnoteRef/>
      </w:r>
      <w:r>
        <w:t xml:space="preserve"> NPPF, paragraph 65, page 18</w:t>
      </w:r>
    </w:p>
  </w:footnote>
  <w:footnote w:id="9">
    <w:p w14:paraId="32116A1A" w14:textId="77777777" w:rsidR="00465696" w:rsidRDefault="00465696" w:rsidP="00916CBC">
      <w:pPr>
        <w:pStyle w:val="FootnoteText"/>
      </w:pPr>
      <w:r>
        <w:rPr>
          <w:rStyle w:val="FootnoteReference"/>
        </w:rPr>
        <w:footnoteRef/>
      </w:r>
      <w:r>
        <w:t xml:space="preserve"> Ibid</w:t>
      </w:r>
    </w:p>
  </w:footnote>
  <w:footnote w:id="10">
    <w:p w14:paraId="612035BE" w14:textId="77777777" w:rsidR="00465696" w:rsidRDefault="00465696" w:rsidP="00916CBC">
      <w:pPr>
        <w:pStyle w:val="FootnoteText"/>
      </w:pPr>
      <w:r>
        <w:rPr>
          <w:rStyle w:val="FootnoteReference"/>
        </w:rPr>
        <w:footnoteRef/>
      </w:r>
      <w:r>
        <w:t xml:space="preserve"> Windfall sites are sites which are not included as allocations as part of the housing land supply, but which subsequently become available for housing development. They are sites that were not formally included in the development plan. Whilst therefore, windfalls are not planned, they are an expected type of development and, as such, contribute towards housing provision.</w:t>
      </w:r>
    </w:p>
  </w:footnote>
  <w:footnote w:id="11">
    <w:p w14:paraId="2BBAB31C" w14:textId="77777777" w:rsidR="00465696" w:rsidRDefault="00465696" w:rsidP="00916CBC">
      <w:pPr>
        <w:pStyle w:val="FootnoteText"/>
      </w:pPr>
      <w:r>
        <w:rPr>
          <w:rStyle w:val="FootnoteReference"/>
        </w:rPr>
        <w:footnoteRef/>
      </w:r>
      <w:r>
        <w:t xml:space="preserve"> Planning Practice Guidance Paragraph: 097 Reference ID: 41-097-20180913 Revision date: 13 09 2018</w:t>
      </w:r>
    </w:p>
  </w:footnote>
  <w:footnote w:id="12">
    <w:p w14:paraId="34760107" w14:textId="77777777" w:rsidR="00465696" w:rsidRDefault="00465696" w:rsidP="00916CBC">
      <w:pPr>
        <w:pStyle w:val="FootnoteText"/>
      </w:pPr>
      <w:r>
        <w:rPr>
          <w:rStyle w:val="FootnoteReference"/>
        </w:rPr>
        <w:footnoteRef/>
      </w:r>
      <w:r>
        <w:t xml:space="preserve"> Paragraph: 010 Reference ID: 2a-010-20190220</w:t>
      </w:r>
    </w:p>
  </w:footnote>
  <w:footnote w:id="13">
    <w:p w14:paraId="2E124ACD" w14:textId="77777777" w:rsidR="00465696" w:rsidRDefault="00465696" w:rsidP="00916CBC">
      <w:pPr>
        <w:pStyle w:val="FootnoteText"/>
      </w:pPr>
      <w:r>
        <w:rPr>
          <w:rStyle w:val="FootnoteReference"/>
        </w:rPr>
        <w:footnoteRef/>
      </w:r>
      <w:r>
        <w:t xml:space="preserve"> Paragraph: 004 Reference ID: 2a-004-20190220 Revision date: 20 02 2019</w:t>
      </w:r>
    </w:p>
  </w:footnote>
  <w:footnote w:id="14">
    <w:p w14:paraId="0ECC6B79" w14:textId="77777777" w:rsidR="00465696" w:rsidRDefault="00465696" w:rsidP="00916CBC">
      <w:pPr>
        <w:pStyle w:val="FootnoteText"/>
      </w:pPr>
      <w:r>
        <w:rPr>
          <w:rStyle w:val="FootnoteReference"/>
        </w:rPr>
        <w:footnoteRef/>
      </w:r>
      <w:r>
        <w:t xml:space="preserve"> https://www.ons.gov.uk/peoplepopulationandcommunity/housing/datasets/ratioofhousepricetoworkplacebasedearningslowerquartileandmedian</w:t>
      </w:r>
    </w:p>
  </w:footnote>
  <w:footnote w:id="15">
    <w:p w14:paraId="7F845277" w14:textId="07A63E79" w:rsidR="00465696" w:rsidRDefault="00465696">
      <w:pPr>
        <w:pStyle w:val="FootnoteText"/>
      </w:pPr>
      <w:r>
        <w:rPr>
          <w:rStyle w:val="FootnoteReference"/>
        </w:rPr>
        <w:footnoteRef/>
      </w:r>
      <w:r>
        <w:t xml:space="preserve"> Note that the 2019 SHMA Part 2 Partial Update calculates Babergh’s annual need as 428 dwellings per year rather than 419. However, this is because at the time of the SHMA calculation, Babergh’s adopted planning strategy was adopted less than five years ago, whereas at the time of writing this report (May 2019), the five-year point has now been passed (it passed in February 2019). Therefore, the cap has to be applied differently.</w:t>
      </w:r>
    </w:p>
  </w:footnote>
  <w:footnote w:id="16">
    <w:p w14:paraId="15E1781B" w14:textId="63DAA6E2" w:rsidR="00465696" w:rsidRDefault="00465696">
      <w:pPr>
        <w:pStyle w:val="FootnoteText"/>
      </w:pPr>
      <w:r>
        <w:rPr>
          <w:rStyle w:val="FootnoteReference"/>
        </w:rPr>
        <w:footnoteRef/>
      </w:r>
      <w:r>
        <w:t xml:space="preserve"> </w:t>
      </w:r>
      <w:hyperlink r:id="rId6" w:history="1">
        <w:r>
          <w:rPr>
            <w:rStyle w:val="Hyperlink"/>
          </w:rPr>
          <w:t>https://www.midsuffolk.gov.uk/assets/Strategic-Planning/Babergh-Core-Strategy/CORE-STRATEGY-AND-POLICIES-FINAL-Feb-2014.pdf</w:t>
        </w:r>
      </w:hyperlink>
    </w:p>
  </w:footnote>
  <w:footnote w:id="17">
    <w:p w14:paraId="2831F197" w14:textId="77777777" w:rsidR="00465696" w:rsidRPr="000E4CE6" w:rsidRDefault="00465696" w:rsidP="00FB34E2">
      <w:pPr>
        <w:pStyle w:val="FootnoteText"/>
        <w:jc w:val="both"/>
        <w:rPr>
          <w:rFonts w:cstheme="minorHAnsi"/>
        </w:rPr>
      </w:pPr>
      <w:r w:rsidRPr="000E4CE6">
        <w:rPr>
          <w:rStyle w:val="FootnoteReference"/>
          <w:rFonts w:asciiTheme="minorHAnsi" w:hAnsiTheme="minorHAnsi" w:cstheme="minorHAnsi"/>
        </w:rPr>
        <w:footnoteRef/>
      </w:r>
      <w:r w:rsidRPr="000E4CE6">
        <w:rPr>
          <w:rFonts w:cstheme="minorHAnsi"/>
        </w:rPr>
        <w:t xml:space="preserve"> https://www.nomisweb.co.uk/census/2011/qs407ew</w:t>
      </w:r>
    </w:p>
  </w:footnote>
  <w:footnote w:id="18">
    <w:p w14:paraId="158DA0FA" w14:textId="77777777" w:rsidR="00465696" w:rsidRDefault="00465696" w:rsidP="00DB07B5">
      <w:pPr>
        <w:pStyle w:val="FootnoteText"/>
      </w:pPr>
      <w:r>
        <w:rPr>
          <w:rStyle w:val="FootnoteReference"/>
        </w:rPr>
        <w:footnoteRef/>
      </w:r>
      <w:r>
        <w:t xml:space="preserve"> </w:t>
      </w:r>
      <w:hyperlink r:id="rId7" w:history="1">
        <w:r>
          <w:rPr>
            <w:rStyle w:val="Hyperlink"/>
          </w:rPr>
          <w:t>https://www.gov.uk/guidance/dwelling-stock-data-notes-and-definitions-includes-hfr-full-guidance-notes-and-returns-form</w:t>
        </w:r>
      </w:hyperlink>
      <w:r>
        <w:t xml:space="preserve"> </w:t>
      </w:r>
    </w:p>
  </w:footnote>
  <w:footnote w:id="19">
    <w:p w14:paraId="75654640" w14:textId="77777777" w:rsidR="00465696" w:rsidRDefault="00465696" w:rsidP="00DB07B5">
      <w:pPr>
        <w:pStyle w:val="FootnoteText"/>
      </w:pPr>
      <w:r>
        <w:rPr>
          <w:rStyle w:val="FootnoteReference"/>
        </w:rPr>
        <w:footnoteRef/>
      </w:r>
      <w:r>
        <w:t xml:space="preserve"> Ibid.</w:t>
      </w:r>
    </w:p>
  </w:footnote>
  <w:footnote w:id="20">
    <w:p w14:paraId="6638C072" w14:textId="0EE01C8E" w:rsidR="00465696" w:rsidRDefault="00465696">
      <w:pPr>
        <w:pStyle w:val="FootnoteText"/>
      </w:pPr>
      <w:r>
        <w:rPr>
          <w:rStyle w:val="FootnoteReference"/>
        </w:rPr>
        <w:footnoteRef/>
      </w:r>
      <w:r>
        <w:t xml:space="preserve"> Note that the sum of dwellings in this column is higher than the target of 18 dwellings determined for the Neighbourhood Plan in our answer to RQ1. This reflects the caveat applied to that target, namely that it is low due to being based on the 2014 Core Strategy and that it is likely to be superseded in the near future. The total number of dwellings in this column, however, is extrapolated only from population projections, and in that sense should not be thought of as an estimate of overall housing requirement, as a greater number of factors should inform the quantity calculation than population projections alone.</w:t>
      </w:r>
    </w:p>
  </w:footnote>
  <w:footnote w:id="21">
    <w:p w14:paraId="152ABD85" w14:textId="77777777" w:rsidR="0056784D" w:rsidRPr="00F56E61" w:rsidRDefault="0056784D" w:rsidP="0056784D">
      <w:pPr>
        <w:pStyle w:val="FootnoteText"/>
        <w:rPr>
          <w:szCs w:val="16"/>
        </w:rPr>
      </w:pPr>
      <w:r w:rsidRPr="00F56E61">
        <w:rPr>
          <w:rStyle w:val="FootnoteReference"/>
          <w:szCs w:val="16"/>
        </w:rPr>
        <w:footnoteRef/>
      </w:r>
      <w:r w:rsidRPr="00F56E61">
        <w:rPr>
          <w:szCs w:val="16"/>
        </w:rPr>
        <w:t xml:space="preserve"> http://www.communities.gov.uk/documents/planningandbuilding/pdf/1918430.pdf</w:t>
      </w:r>
    </w:p>
  </w:footnote>
  <w:footnote w:id="22">
    <w:p w14:paraId="23B54CD1" w14:textId="77777777" w:rsidR="0056784D" w:rsidRPr="00F56E61" w:rsidRDefault="0056784D" w:rsidP="0056784D">
      <w:pPr>
        <w:pStyle w:val="FootnoteText"/>
        <w:rPr>
          <w:rFonts w:cs="Arial"/>
          <w:szCs w:val="16"/>
        </w:rPr>
      </w:pPr>
      <w:r w:rsidRPr="00F56E61">
        <w:rPr>
          <w:rStyle w:val="FootnoteReference"/>
          <w:rFonts w:cs="Arial"/>
          <w:szCs w:val="16"/>
        </w:rPr>
        <w:footnoteRef/>
      </w:r>
      <w:r w:rsidRPr="00F56E61">
        <w:rPr>
          <w:rFonts w:cs="Arial"/>
          <w:szCs w:val="16"/>
        </w:rPr>
        <w:t xml:space="preserve"> https://www.gov.uk/guidance/national-planning-policy-framework/annex-2-glossary</w:t>
      </w:r>
    </w:p>
  </w:footnote>
  <w:footnote w:id="23">
    <w:p w14:paraId="7D50BBEC" w14:textId="77777777" w:rsidR="0056784D" w:rsidRDefault="0056784D" w:rsidP="0056784D">
      <w:pPr>
        <w:pStyle w:val="FootnoteText"/>
      </w:pPr>
      <w:r>
        <w:rPr>
          <w:rStyle w:val="FootnoteReference"/>
        </w:rPr>
        <w:footnoteRef/>
      </w:r>
      <w:r>
        <w:t xml:space="preserve"> </w:t>
      </w:r>
      <w:r w:rsidRPr="00F56E61">
        <w:t>https://www.gov.uk/government/publications/english‐housing‐survey‐ 2011‐to‐2012‐headline‐report</w:t>
      </w:r>
    </w:p>
  </w:footnote>
  <w:footnote w:id="24">
    <w:p w14:paraId="1D465050" w14:textId="77777777" w:rsidR="0056784D" w:rsidRPr="00F56E61" w:rsidRDefault="0056784D" w:rsidP="0056784D">
      <w:pPr>
        <w:pStyle w:val="FootnoteText"/>
        <w:rPr>
          <w:rFonts w:cs="Arial"/>
          <w:szCs w:val="16"/>
        </w:rPr>
      </w:pPr>
      <w:r w:rsidRPr="00F56E61">
        <w:rPr>
          <w:rStyle w:val="FootnoteReference"/>
          <w:rFonts w:cs="Arial"/>
          <w:szCs w:val="16"/>
        </w:rPr>
        <w:footnoteRef/>
      </w:r>
      <w:r w:rsidRPr="00F56E61">
        <w:rPr>
          <w:rFonts w:cs="Arial"/>
          <w:szCs w:val="16"/>
        </w:rPr>
        <w:t xml:space="preserve"> https://www.gov.uk/guidance/national-planning-policy-framework/annex-2-glossary</w:t>
      </w:r>
    </w:p>
  </w:footnote>
  <w:footnote w:id="25">
    <w:p w14:paraId="2D83BF0B" w14:textId="77777777" w:rsidR="0056784D" w:rsidRPr="00F56E61" w:rsidRDefault="0056784D" w:rsidP="0056784D">
      <w:pPr>
        <w:pStyle w:val="FootnoteText"/>
        <w:rPr>
          <w:rFonts w:cs="Arial"/>
          <w:szCs w:val="16"/>
        </w:rPr>
      </w:pPr>
      <w:r w:rsidRPr="00F56E61">
        <w:rPr>
          <w:rStyle w:val="FootnoteReference"/>
          <w:rFonts w:cs="Arial"/>
          <w:szCs w:val="16"/>
        </w:rPr>
        <w:footnoteRef/>
      </w:r>
      <w:r w:rsidRPr="00F56E61">
        <w:rPr>
          <w:rFonts w:cs="Arial"/>
          <w:szCs w:val="16"/>
        </w:rPr>
        <w:t>http://webarchive.nationalarchives.gov.uk/20160107160832/http://www.ons.gov.uk/ons/dcp171776_350282.pdf</w:t>
      </w:r>
    </w:p>
  </w:footnote>
  <w:footnote w:id="26">
    <w:p w14:paraId="3244C264" w14:textId="77777777" w:rsidR="0056784D" w:rsidRPr="00F56E61" w:rsidRDefault="0056784D" w:rsidP="0056784D">
      <w:pPr>
        <w:pStyle w:val="FootnoteText"/>
        <w:rPr>
          <w:rFonts w:cs="Arial"/>
          <w:szCs w:val="16"/>
        </w:rPr>
      </w:pPr>
      <w:r w:rsidRPr="00F56E61">
        <w:rPr>
          <w:rStyle w:val="FootnoteReference"/>
          <w:rFonts w:cs="Arial"/>
          <w:szCs w:val="16"/>
        </w:rPr>
        <w:footnoteRef/>
      </w:r>
      <w:r w:rsidRPr="00F56E61">
        <w:rPr>
          <w:rFonts w:cs="Arial"/>
          <w:szCs w:val="16"/>
        </w:rPr>
        <w:t xml:space="preserve"> http://www.housingcare.org/jargon-extra-care-housing.aspx </w:t>
      </w:r>
    </w:p>
  </w:footnote>
  <w:footnote w:id="27">
    <w:p w14:paraId="12E2556A" w14:textId="77777777" w:rsidR="0056784D" w:rsidRPr="00F56E61" w:rsidRDefault="0056784D" w:rsidP="0056784D">
      <w:pPr>
        <w:pStyle w:val="FootnoteText"/>
        <w:rPr>
          <w:rFonts w:cs="Arial"/>
          <w:szCs w:val="16"/>
        </w:rPr>
      </w:pPr>
      <w:r w:rsidRPr="00F56E61">
        <w:rPr>
          <w:rStyle w:val="FootnoteReference"/>
          <w:rFonts w:cs="Arial"/>
          <w:szCs w:val="16"/>
        </w:rPr>
        <w:footnoteRef/>
      </w:r>
      <w:r w:rsidRPr="00F56E61">
        <w:rPr>
          <w:rFonts w:cs="Arial"/>
          <w:szCs w:val="16"/>
        </w:rPr>
        <w:t xml:space="preserve"> https://www.gov.uk/guidance/housing-and-economic-development-needs-assessments</w:t>
      </w:r>
    </w:p>
  </w:footnote>
  <w:footnote w:id="28">
    <w:p w14:paraId="0FF38A3E" w14:textId="77777777" w:rsidR="0056784D" w:rsidRPr="00F56E61" w:rsidRDefault="0056784D" w:rsidP="0056784D">
      <w:pPr>
        <w:pStyle w:val="FootnoteText"/>
        <w:rPr>
          <w:szCs w:val="16"/>
        </w:rPr>
      </w:pPr>
      <w:r w:rsidRPr="00F56E61">
        <w:rPr>
          <w:rStyle w:val="FootnoteReference"/>
          <w:szCs w:val="16"/>
        </w:rPr>
        <w:footnoteRef/>
      </w:r>
      <w:r w:rsidRPr="00F56E61">
        <w:rPr>
          <w:szCs w:val="16"/>
        </w:rPr>
        <w:t xml:space="preserve"> https://www.which.co.uk/news/2017/08/how-your-income-affects-your-mortgage-chances/</w:t>
      </w:r>
    </w:p>
  </w:footnote>
  <w:footnote w:id="29">
    <w:p w14:paraId="0D0B31FC" w14:textId="77777777" w:rsidR="0056784D" w:rsidRPr="00F56E61" w:rsidRDefault="0056784D" w:rsidP="0056784D">
      <w:pPr>
        <w:pStyle w:val="FootnoteText"/>
        <w:rPr>
          <w:rFonts w:cs="Arial"/>
          <w:szCs w:val="16"/>
        </w:rPr>
      </w:pPr>
      <w:r w:rsidRPr="00F56E61">
        <w:rPr>
          <w:rStyle w:val="FootnoteReference"/>
          <w:rFonts w:cs="Arial"/>
          <w:szCs w:val="16"/>
        </w:rPr>
        <w:footnoteRef/>
      </w:r>
      <w:r w:rsidRPr="00F56E61">
        <w:rPr>
          <w:rFonts w:cs="Arial"/>
          <w:szCs w:val="16"/>
        </w:rPr>
        <w:t xml:space="preserve"> </w:t>
      </w:r>
      <w:r w:rsidRPr="000B6A0F">
        <w:rPr>
          <w:rFonts w:cs="Arial"/>
          <w:szCs w:val="16"/>
        </w:rPr>
        <w:t>http://www.housingcare.org/jargon-sheltered-housing.aspx</w:t>
      </w:r>
    </w:p>
  </w:footnote>
  <w:footnote w:id="30">
    <w:p w14:paraId="018952A3" w14:textId="77777777" w:rsidR="0056784D" w:rsidRDefault="0056784D" w:rsidP="0056784D">
      <w:pPr>
        <w:pStyle w:val="FootnoteText"/>
      </w:pPr>
      <w:r>
        <w:rPr>
          <w:rStyle w:val="FootnoteReference"/>
        </w:rPr>
        <w:footnoteRef/>
      </w:r>
      <w:r>
        <w:t xml:space="preserve"> </w:t>
      </w:r>
      <w:r w:rsidRPr="00F56E61">
        <w:rPr>
          <w:rFonts w:cs="Arial"/>
        </w:rPr>
        <w:t>http://www.communities.gov.uk/documents/planningandbuilding/doc/1980960.doc#Housing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33055303"/>
      <w:docPartObj>
        <w:docPartGallery w:val="Page Numbers (Top of Page)"/>
        <w:docPartUnique/>
      </w:docPartObj>
    </w:sdtPr>
    <w:sdtEndPr>
      <w:rPr>
        <w:noProof/>
        <w:sz w:val="18"/>
      </w:rPr>
    </w:sdtEndPr>
    <w:sdtContent>
      <w:p w14:paraId="7098156E" w14:textId="0BE77C59" w:rsidR="00465696" w:rsidRPr="00FD5F8B" w:rsidRDefault="00465696">
        <w:pPr>
          <w:pStyle w:val="Header"/>
          <w:jc w:val="right"/>
          <w:rPr>
            <w:noProof w:val="0"/>
            <w:sz w:val="18"/>
          </w:rPr>
        </w:pPr>
        <w:r w:rsidRPr="00FD5F8B">
          <w:rPr>
            <w:noProof w:val="0"/>
            <w:sz w:val="18"/>
          </w:rPr>
          <w:tab/>
        </w:r>
      </w:p>
      <w:p w14:paraId="2EEF16C5" w14:textId="78C16145" w:rsidR="00465696" w:rsidRPr="00FD5F8B" w:rsidRDefault="00465696" w:rsidP="008F6D54">
        <w:pPr>
          <w:pStyle w:val="Header"/>
          <w:tabs>
            <w:tab w:val="clear" w:pos="9026"/>
            <w:tab w:val="right" w:pos="0"/>
          </w:tabs>
          <w:rPr>
            <w:sz w:val="18"/>
          </w:rPr>
        </w:pPr>
        <w:r w:rsidRPr="00DA62D2">
          <w:rPr>
            <w:sz w:val="18"/>
          </w:rPr>
          <w:t>AECOM</w:t>
        </w:r>
        <w:r w:rsidRPr="00FD5F8B">
          <w:rPr>
            <w:color w:val="FF0000"/>
            <w:sz w:val="18"/>
          </w:rPr>
          <w:tab/>
        </w:r>
        <w:r w:rsidRPr="00FD5F8B">
          <w:rPr>
            <w:color w:val="FF0000"/>
            <w:sz w:val="18"/>
          </w:rPr>
          <w:tab/>
        </w:r>
        <w:r w:rsidRPr="00FD5F8B">
          <w:rPr>
            <w:color w:val="FF0000"/>
            <w:sz w:val="18"/>
          </w:rPr>
          <w:tab/>
        </w:r>
        <w:r w:rsidRPr="00FD5F8B">
          <w:rPr>
            <w:color w:val="FF0000"/>
            <w:sz w:val="18"/>
          </w:rPr>
          <w:tab/>
        </w:r>
        <w:r w:rsidRPr="00FD5F8B">
          <w:rPr>
            <w:color w:val="FF0000"/>
            <w:sz w:val="18"/>
          </w:rPr>
          <w:tab/>
        </w:r>
        <w:r w:rsidRPr="00FD5F8B">
          <w:rPr>
            <w:color w:val="FF0000"/>
            <w:sz w:val="18"/>
          </w:rPr>
          <w:tab/>
        </w:r>
        <w:r w:rsidRPr="00FD5F8B">
          <w:rPr>
            <w:color w:val="FF0000"/>
            <w:sz w:val="18"/>
          </w:rPr>
          <w:tab/>
        </w:r>
        <w:r>
          <w:rPr>
            <w:color w:val="FF0000"/>
            <w:sz w:val="18"/>
          </w:rPr>
          <w:t xml:space="preserve">    </w:t>
        </w:r>
        <w:r w:rsidRPr="00FD5F8B">
          <w:rPr>
            <w:noProof w:val="0"/>
            <w:sz w:val="18"/>
          </w:rPr>
          <w:fldChar w:fldCharType="begin"/>
        </w:r>
        <w:r w:rsidRPr="00FD5F8B">
          <w:rPr>
            <w:sz w:val="18"/>
          </w:rPr>
          <w:instrText xml:space="preserve"> PAGE   \* MERGEFORMAT </w:instrText>
        </w:r>
        <w:r w:rsidRPr="00FD5F8B">
          <w:rPr>
            <w:noProof w:val="0"/>
            <w:sz w:val="18"/>
          </w:rPr>
          <w:fldChar w:fldCharType="separate"/>
        </w:r>
        <w:r w:rsidR="002B02F7">
          <w:rPr>
            <w:sz w:val="18"/>
          </w:rPr>
          <w:t>2</w:t>
        </w:r>
        <w:r w:rsidRPr="00FD5F8B">
          <w:rPr>
            <w:sz w:val="1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97" w:type="dxa"/>
      <w:tblLayout w:type="fixed"/>
      <w:tblCellMar>
        <w:left w:w="0" w:type="dxa"/>
        <w:right w:w="0" w:type="dxa"/>
      </w:tblCellMar>
      <w:tblLook w:val="00A0" w:firstRow="1" w:lastRow="0" w:firstColumn="1" w:lastColumn="0" w:noHBand="0" w:noVBand="0"/>
    </w:tblPr>
    <w:tblGrid>
      <w:gridCol w:w="3221"/>
      <w:gridCol w:w="3569"/>
      <w:gridCol w:w="2849"/>
      <w:gridCol w:w="1458"/>
    </w:tblGrid>
    <w:tr w:rsidR="00465696" w:rsidRPr="00035BE0" w14:paraId="1107327E" w14:textId="77777777" w:rsidTr="00DA62D2">
      <w:trPr>
        <w:trHeight w:val="20"/>
      </w:trPr>
      <w:tc>
        <w:tcPr>
          <w:tcW w:w="3221" w:type="dxa"/>
          <w:noWrap/>
        </w:tcPr>
        <w:p w14:paraId="48D69C59" w14:textId="77777777" w:rsidR="00465696" w:rsidRPr="00D35DCB" w:rsidRDefault="00465696" w:rsidP="00E80CC8">
          <w:r>
            <w:t>AECOM</w:t>
          </w:r>
        </w:p>
      </w:tc>
      <w:tc>
        <w:tcPr>
          <w:tcW w:w="3569" w:type="dxa"/>
          <w:noWrap/>
        </w:tcPr>
        <w:p w14:paraId="6C38E5D6" w14:textId="77777777" w:rsidR="00465696" w:rsidRPr="00687BDA" w:rsidRDefault="00465696" w:rsidP="00E80CC8"/>
      </w:tc>
      <w:tc>
        <w:tcPr>
          <w:tcW w:w="2849" w:type="dxa"/>
        </w:tcPr>
        <w:p w14:paraId="5DD624F9" w14:textId="77777777" w:rsidR="00465696" w:rsidRPr="00B70F5C" w:rsidRDefault="00465696" w:rsidP="00E80CC8"/>
      </w:tc>
      <w:tc>
        <w:tcPr>
          <w:tcW w:w="1458" w:type="dxa"/>
        </w:tcPr>
        <w:p w14:paraId="7B554363" w14:textId="18D68CC8" w:rsidR="00465696" w:rsidRPr="00D35DCB" w:rsidRDefault="00465696" w:rsidP="00E80CC8">
          <w:r>
            <w:fldChar w:fldCharType="begin"/>
          </w:r>
          <w:r>
            <w:instrText xml:space="preserve"> PAGE   \* MERGEFORMAT </w:instrText>
          </w:r>
          <w:r>
            <w:fldChar w:fldCharType="separate"/>
          </w:r>
          <w:r w:rsidR="0061111D">
            <w:rPr>
              <w:noProof/>
            </w:rPr>
            <w:t>33</w:t>
          </w:r>
          <w:r>
            <w:rPr>
              <w:noProof/>
            </w:rPr>
            <w:fldChar w:fldCharType="end"/>
          </w:r>
        </w:p>
      </w:tc>
    </w:tr>
  </w:tbl>
  <w:p w14:paraId="5C28B31C" w14:textId="45E71FBE" w:rsidR="00465696" w:rsidRDefault="00465696">
    <w:r>
      <w:t>Copdock and Washbrook Neighbourhood Plan Housing Needs 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Layout w:type="fixed"/>
      <w:tblCellMar>
        <w:left w:w="0" w:type="dxa"/>
        <w:right w:w="0" w:type="dxa"/>
      </w:tblCellMar>
      <w:tblLook w:val="00A0" w:firstRow="1" w:lastRow="0" w:firstColumn="1" w:lastColumn="0" w:noHBand="0" w:noVBand="0"/>
    </w:tblPr>
    <w:tblGrid>
      <w:gridCol w:w="3221"/>
      <w:gridCol w:w="3569"/>
      <w:gridCol w:w="1832"/>
      <w:gridCol w:w="1458"/>
    </w:tblGrid>
    <w:tr w:rsidR="00465696" w:rsidRPr="00035BE0" w14:paraId="1F977618" w14:textId="77777777">
      <w:trPr>
        <w:trHeight w:val="20"/>
      </w:trPr>
      <w:tc>
        <w:tcPr>
          <w:tcW w:w="3221" w:type="dxa"/>
          <w:noWrap/>
        </w:tcPr>
        <w:p w14:paraId="091749F9" w14:textId="77777777" w:rsidR="00465696" w:rsidRPr="00D35DCB" w:rsidRDefault="00465696" w:rsidP="00E80CC8">
          <w:r>
            <w:t>AECOM</w:t>
          </w:r>
        </w:p>
      </w:tc>
      <w:tc>
        <w:tcPr>
          <w:tcW w:w="3569" w:type="dxa"/>
          <w:noWrap/>
        </w:tcPr>
        <w:p w14:paraId="5D7D7959" w14:textId="77777777" w:rsidR="00465696" w:rsidRPr="00687BDA" w:rsidRDefault="00465696" w:rsidP="00E80CC8"/>
      </w:tc>
      <w:tc>
        <w:tcPr>
          <w:tcW w:w="1832" w:type="dxa"/>
        </w:tcPr>
        <w:p w14:paraId="31A52566" w14:textId="77777777" w:rsidR="00465696" w:rsidRPr="00B70F5C" w:rsidRDefault="00465696" w:rsidP="00E80CC8"/>
      </w:tc>
      <w:tc>
        <w:tcPr>
          <w:tcW w:w="1458" w:type="dxa"/>
        </w:tcPr>
        <w:p w14:paraId="27987A45" w14:textId="5D819297" w:rsidR="00465696" w:rsidRPr="00D35DCB" w:rsidRDefault="00465696" w:rsidP="00E80CC8">
          <w:r>
            <w:fldChar w:fldCharType="begin"/>
          </w:r>
          <w:r>
            <w:instrText xml:space="preserve"> PAGE   \* MERGEFORMAT </w:instrText>
          </w:r>
          <w:r>
            <w:fldChar w:fldCharType="separate"/>
          </w:r>
          <w:r w:rsidR="0061111D">
            <w:rPr>
              <w:noProof/>
            </w:rPr>
            <w:t>34</w:t>
          </w:r>
          <w:r>
            <w:rPr>
              <w:noProof/>
            </w:rPr>
            <w:fldChar w:fldCharType="end"/>
          </w:r>
        </w:p>
      </w:tc>
    </w:tr>
  </w:tbl>
  <w:p w14:paraId="109A4612" w14:textId="77777777" w:rsidR="00465696" w:rsidRDefault="004656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0B60DB92"/>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BD8E630"/>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CCC80E4"/>
    <w:lvl w:ilvl="0">
      <w:start w:val="1"/>
      <w:numFmt w:val="decimal"/>
      <w:lvlText w:val="%1."/>
      <w:lvlJc w:val="left"/>
      <w:pPr>
        <w:tabs>
          <w:tab w:val="num" w:pos="360"/>
        </w:tabs>
        <w:ind w:left="360" w:hanging="360"/>
      </w:pPr>
    </w:lvl>
  </w:abstractNum>
  <w:abstractNum w:abstractNumId="7">
    <w:nsid w:val="FFFFFF89"/>
    <w:multiLevelType w:val="singleLevel"/>
    <w:tmpl w:val="61766384"/>
    <w:lvl w:ilvl="0">
      <w:start w:val="1"/>
      <w:numFmt w:val="bullet"/>
      <w:lvlText w:val=""/>
      <w:lvlJc w:val="left"/>
      <w:pPr>
        <w:tabs>
          <w:tab w:val="num" w:pos="360"/>
        </w:tabs>
        <w:ind w:left="360" w:hanging="360"/>
      </w:pPr>
      <w:rPr>
        <w:rFonts w:ascii="Symbol" w:hAnsi="Symbol" w:hint="default"/>
      </w:rPr>
    </w:lvl>
  </w:abstractNum>
  <w:abstractNum w:abstractNumId="8">
    <w:nsid w:val="06DD69E9"/>
    <w:multiLevelType w:val="multilevel"/>
    <w:tmpl w:val="B92A093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419"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9">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5">
    <w:nsid w:val="2BE069BF"/>
    <w:multiLevelType w:val="hybridMultilevel"/>
    <w:tmpl w:val="2E86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1A0814"/>
    <w:multiLevelType w:val="hybridMultilevel"/>
    <w:tmpl w:val="3B466D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nsid w:val="3754570F"/>
    <w:multiLevelType w:val="multilevel"/>
    <w:tmpl w:val="97505A4E"/>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3">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4">
    <w:nsid w:val="5571285C"/>
    <w:multiLevelType w:val="multilevel"/>
    <w:tmpl w:val="5442DFBE"/>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5">
    <w:nsid w:val="584F0838"/>
    <w:multiLevelType w:val="hybridMultilevel"/>
    <w:tmpl w:val="02049F20"/>
    <w:lvl w:ilvl="0" w:tplc="BDF04B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59A027C"/>
    <w:multiLevelType w:val="multilevel"/>
    <w:tmpl w:val="C3285012"/>
    <w:lvl w:ilvl="0">
      <w:start w:val="1"/>
      <w:numFmt w:val="decimal"/>
      <w:pStyle w:val="ListNumber"/>
      <w:lvlText w:val="%1."/>
      <w:lvlJc w:val="left"/>
      <w:pPr>
        <w:ind w:left="425" w:hanging="425"/>
      </w:pPr>
      <w:rPr>
        <w:rFonts w:hint="default"/>
        <w:b w:val="0"/>
        <w:i w:val="0"/>
        <w:color w:val="auto"/>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7">
    <w:nsid w:val="68FF5876"/>
    <w:multiLevelType w:val="hybridMultilevel"/>
    <w:tmpl w:val="E8267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EFE498B"/>
    <w:multiLevelType w:val="multilevel"/>
    <w:tmpl w:val="D88893D6"/>
    <w:lvl w:ilvl="0">
      <w:start w:val="1"/>
      <w:numFmt w:val="bullet"/>
      <w:pStyle w:val="ListBullet"/>
      <w:lvlText w:val=""/>
      <w:lvlJc w:val="left"/>
      <w:pPr>
        <w:tabs>
          <w:tab w:val="num" w:pos="850"/>
        </w:tabs>
        <w:ind w:left="850" w:hanging="425"/>
      </w:pPr>
      <w:rPr>
        <w:rFonts w:ascii="Symbol" w:hAnsi="Symbol" w:hint="default"/>
        <w:color w:val="auto"/>
      </w:rPr>
    </w:lvl>
    <w:lvl w:ilvl="1">
      <w:start w:val="1"/>
      <w:numFmt w:val="bullet"/>
      <w:pStyle w:val="ListBullet2"/>
      <w:lvlText w:val="─"/>
      <w:lvlJc w:val="left"/>
      <w:pPr>
        <w:tabs>
          <w:tab w:val="num" w:pos="1276"/>
        </w:tabs>
        <w:ind w:left="1275" w:hanging="425"/>
      </w:pPr>
      <w:rPr>
        <w:rFonts w:ascii="Calibri" w:hAnsi="Calibri" w:hint="default"/>
        <w:color w:val="auto"/>
      </w:rPr>
    </w:lvl>
    <w:lvl w:ilvl="2">
      <w:start w:val="1"/>
      <w:numFmt w:val="bullet"/>
      <w:pStyle w:val="ListBullet3"/>
      <w:lvlText w:val=""/>
      <w:lvlJc w:val="left"/>
      <w:pPr>
        <w:tabs>
          <w:tab w:val="num" w:pos="1701"/>
        </w:tabs>
        <w:ind w:left="1700" w:hanging="425"/>
      </w:pPr>
      <w:rPr>
        <w:rFonts w:ascii="Wingdings" w:hAnsi="Wingdings" w:hint="default"/>
        <w:color w:val="auto"/>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Calibri" w:hAnsi="Calibri" w:hint="default"/>
        <w:color w:val="auto"/>
      </w:rPr>
    </w:lvl>
    <w:lvl w:ilvl="5">
      <w:start w:val="1"/>
      <w:numFmt w:val="bullet"/>
      <w:lvlText w:val=""/>
      <w:lvlJc w:val="left"/>
      <w:pPr>
        <w:tabs>
          <w:tab w:val="num" w:pos="2771"/>
        </w:tabs>
        <w:ind w:left="2975" w:hanging="425"/>
      </w:pPr>
      <w:rPr>
        <w:rFonts w:ascii="Wingdings" w:hAnsi="Wingdings" w:hint="default"/>
      </w:rPr>
    </w:lvl>
    <w:lvl w:ilvl="6">
      <w:start w:val="1"/>
      <w:numFmt w:val="bullet"/>
      <w:lvlText w:val=""/>
      <w:lvlJc w:val="left"/>
      <w:pPr>
        <w:tabs>
          <w:tab w:val="num" w:pos="3055"/>
        </w:tabs>
        <w:ind w:left="3400" w:hanging="425"/>
      </w:pPr>
      <w:rPr>
        <w:rFonts w:ascii="Symbol" w:hAnsi="Symbol" w:hint="default"/>
      </w:rPr>
    </w:lvl>
    <w:lvl w:ilvl="7">
      <w:start w:val="1"/>
      <w:numFmt w:val="bullet"/>
      <w:lvlText w:val="─"/>
      <w:lvlJc w:val="left"/>
      <w:pPr>
        <w:tabs>
          <w:tab w:val="num" w:pos="3339"/>
        </w:tabs>
        <w:ind w:left="3825" w:hanging="425"/>
      </w:pPr>
      <w:rPr>
        <w:rFonts w:ascii="Calibri" w:hAnsi="Calibri" w:hint="default"/>
        <w:color w:val="auto"/>
      </w:rPr>
    </w:lvl>
    <w:lvl w:ilvl="8">
      <w:start w:val="1"/>
      <w:numFmt w:val="bullet"/>
      <w:lvlText w:val=""/>
      <w:lvlJc w:val="left"/>
      <w:pPr>
        <w:tabs>
          <w:tab w:val="num" w:pos="3623"/>
        </w:tabs>
        <w:ind w:left="4250" w:hanging="425"/>
      </w:pPr>
      <w:rPr>
        <w:rFonts w:ascii="Wingdings" w:hAnsi="Wingdings" w:hint="default"/>
      </w:rPr>
    </w:lvl>
  </w:abstractNum>
  <w:num w:numId="1">
    <w:abstractNumId w:val="19"/>
  </w:num>
  <w:num w:numId="2">
    <w:abstractNumId w:val="23"/>
  </w:num>
  <w:num w:numId="3">
    <w:abstractNumId w:val="3"/>
  </w:num>
  <w:num w:numId="4">
    <w:abstractNumId w:val="2"/>
  </w:num>
  <w:num w:numId="5">
    <w:abstractNumId w:val="1"/>
  </w:num>
  <w:num w:numId="6">
    <w:abstractNumId w:val="0"/>
  </w:num>
  <w:num w:numId="7">
    <w:abstractNumId w:val="9"/>
  </w:num>
  <w:num w:numId="8">
    <w:abstractNumId w:val="12"/>
  </w:num>
  <w:num w:numId="9">
    <w:abstractNumId w:val="24"/>
  </w:num>
  <w:num w:numId="10">
    <w:abstractNumId w:val="10"/>
  </w:num>
  <w:num w:numId="11">
    <w:abstractNumId w:val="13"/>
  </w:num>
  <w:num w:numId="12">
    <w:abstractNumId w:val="20"/>
  </w:num>
  <w:num w:numId="13">
    <w:abstractNumId w:val="11"/>
  </w:num>
  <w:num w:numId="14">
    <w:abstractNumId w:val="28"/>
  </w:num>
  <w:num w:numId="15">
    <w:abstractNumId w:val="26"/>
  </w:num>
  <w:num w:numId="16">
    <w:abstractNumId w:val="14"/>
  </w:num>
  <w:num w:numId="17">
    <w:abstractNumId w:val="18"/>
  </w:num>
  <w:num w:numId="18">
    <w:abstractNumId w:val="18"/>
  </w:num>
  <w:num w:numId="19">
    <w:abstractNumId w:val="22"/>
  </w:num>
  <w:num w:numId="20">
    <w:abstractNumId w:val="8"/>
  </w:num>
  <w:num w:numId="21">
    <w:abstractNumId w:val="21"/>
  </w:num>
  <w:num w:numId="22">
    <w:abstractNumId w:val="27"/>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5"/>
  </w:num>
  <w:num w:numId="29">
    <w:abstractNumId w:val="26"/>
  </w:num>
  <w:num w:numId="30">
    <w:abstractNumId w:val="26"/>
  </w:num>
  <w:num w:numId="31">
    <w:abstractNumId w:val="8"/>
  </w:num>
  <w:num w:numId="32">
    <w:abstractNumId w:val="26"/>
  </w:num>
  <w:num w:numId="33">
    <w:abstractNumId w:val="8"/>
  </w:num>
  <w:num w:numId="34">
    <w:abstractNumId w:val="8"/>
  </w:num>
  <w:num w:numId="35">
    <w:abstractNumId w:val="26"/>
  </w:num>
  <w:num w:numId="36">
    <w:abstractNumId w:val="26"/>
  </w:num>
  <w:num w:numId="37">
    <w:abstractNumId w:val="8"/>
  </w:num>
  <w:num w:numId="38">
    <w:abstractNumId w:val="26"/>
  </w:num>
  <w:num w:numId="39">
    <w:abstractNumId w:val="26"/>
  </w:num>
  <w:num w:numId="40">
    <w:abstractNumId w:val="26"/>
  </w:num>
  <w:num w:numId="41">
    <w:abstractNumId w:val="26"/>
  </w:num>
  <w:num w:numId="42">
    <w:abstractNumId w:val="8"/>
  </w:num>
  <w:num w:numId="43">
    <w:abstractNumId w:val="8"/>
  </w:num>
  <w:num w:numId="44">
    <w:abstractNumId w:val="8"/>
  </w:num>
  <w:num w:numId="45">
    <w:abstractNumId w:val="26"/>
  </w:num>
  <w:num w:numId="46">
    <w:abstractNumId w:val="26"/>
  </w:num>
  <w:num w:numId="47">
    <w:abstractNumId w:val="26"/>
  </w:num>
  <w:num w:numId="48">
    <w:abstractNumId w:val="8"/>
  </w:num>
  <w:num w:numId="49">
    <w:abstractNumId w:val="6"/>
  </w:num>
  <w:num w:numId="50">
    <w:abstractNumId w:val="7"/>
  </w:num>
  <w:num w:numId="51">
    <w:abstractNumId w:val="5"/>
  </w:num>
  <w:num w:numId="52">
    <w:abstractNumId w:val="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sei, Akwesi">
    <w15:presenceInfo w15:providerId="AD" w15:userId="S-1-5-21-790525478-1284227242-1417001333-947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TextLanguage_ListCount" w:val="0"/>
    <w:docVar w:name="cbTextLanguage_ListIndex" w:val="-1"/>
    <w:docVar w:name="CheckBox2" w:val="0"/>
    <w:docVar w:name="chkChangeCoverImage" w:val="0"/>
    <w:docVar w:name="chkDraft" w:val="-1"/>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0"/>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33"/>
    <w:docVar w:name="SelectedPageLayout" w:val="3"/>
    <w:docVar w:name="SelectedRegion" w:val="4"/>
    <w:docVar w:name="tbDate" w:val="June 2017"/>
    <w:docVar w:name="tbDocumentTitle" w:val="HNA Template "/>
    <w:docVar w:name="tbFooterDetails" w:val="AECOM Limited registered in England &amp; Wales, company number 880328._x000d__x000a_AECOM House, 63-77 Victoria Street, St Albans, Hertfordshire, AL1 3ER"/>
    <w:docVar w:name="tbImage" w:val="Abstract Cable.jpg"/>
    <w:docVar w:name="tbOfficeAddress" w:val="AECOM Limited_x000d__x000a_Aldgate Tower_x000d__x000a_2 Leman Street_x000d__x000a_London_x000d__x000a_E1 8FA_x000d__x000a_aecom.com"/>
    <w:docVar w:name="TranslateChart" w:val="Chart"/>
    <w:docVar w:name="TranslateFigure" w:val="Figure"/>
    <w:docVar w:name="TranslateTable" w:val="Table"/>
  </w:docVars>
  <w:rsids>
    <w:rsidRoot w:val="005A1F44"/>
    <w:rsid w:val="000010BB"/>
    <w:rsid w:val="00004730"/>
    <w:rsid w:val="0000567F"/>
    <w:rsid w:val="00005796"/>
    <w:rsid w:val="00007410"/>
    <w:rsid w:val="00007D12"/>
    <w:rsid w:val="00011B0A"/>
    <w:rsid w:val="00013912"/>
    <w:rsid w:val="000144E9"/>
    <w:rsid w:val="000163EB"/>
    <w:rsid w:val="00023F39"/>
    <w:rsid w:val="00024A9C"/>
    <w:rsid w:val="00026EC3"/>
    <w:rsid w:val="00027303"/>
    <w:rsid w:val="000278B3"/>
    <w:rsid w:val="0003139A"/>
    <w:rsid w:val="0003173A"/>
    <w:rsid w:val="0003500D"/>
    <w:rsid w:val="000364E3"/>
    <w:rsid w:val="0004726B"/>
    <w:rsid w:val="00047FDB"/>
    <w:rsid w:val="00050057"/>
    <w:rsid w:val="0005363D"/>
    <w:rsid w:val="000537D2"/>
    <w:rsid w:val="00053F18"/>
    <w:rsid w:val="0005776B"/>
    <w:rsid w:val="0005782B"/>
    <w:rsid w:val="000652F7"/>
    <w:rsid w:val="000663FA"/>
    <w:rsid w:val="00066A8B"/>
    <w:rsid w:val="00067457"/>
    <w:rsid w:val="00082023"/>
    <w:rsid w:val="00082904"/>
    <w:rsid w:val="00083354"/>
    <w:rsid w:val="0009153B"/>
    <w:rsid w:val="000923AB"/>
    <w:rsid w:val="00092F8A"/>
    <w:rsid w:val="0009611E"/>
    <w:rsid w:val="000A14DC"/>
    <w:rsid w:val="000A276F"/>
    <w:rsid w:val="000A2D0C"/>
    <w:rsid w:val="000A5E31"/>
    <w:rsid w:val="000A6A13"/>
    <w:rsid w:val="000B28E6"/>
    <w:rsid w:val="000B73C5"/>
    <w:rsid w:val="000B7AA3"/>
    <w:rsid w:val="000C0D5A"/>
    <w:rsid w:val="000C334B"/>
    <w:rsid w:val="000C3C1D"/>
    <w:rsid w:val="000D1021"/>
    <w:rsid w:val="000D13AF"/>
    <w:rsid w:val="000E213A"/>
    <w:rsid w:val="000E4587"/>
    <w:rsid w:val="000E7360"/>
    <w:rsid w:val="000F0027"/>
    <w:rsid w:val="000F22FF"/>
    <w:rsid w:val="000F2C08"/>
    <w:rsid w:val="000F5328"/>
    <w:rsid w:val="000F66C9"/>
    <w:rsid w:val="000F7FD2"/>
    <w:rsid w:val="00103597"/>
    <w:rsid w:val="00110478"/>
    <w:rsid w:val="00112827"/>
    <w:rsid w:val="00113736"/>
    <w:rsid w:val="00113896"/>
    <w:rsid w:val="00115CA4"/>
    <w:rsid w:val="00116072"/>
    <w:rsid w:val="001169AC"/>
    <w:rsid w:val="0011737A"/>
    <w:rsid w:val="0012093B"/>
    <w:rsid w:val="001244DC"/>
    <w:rsid w:val="0012697D"/>
    <w:rsid w:val="00127AF4"/>
    <w:rsid w:val="001315BF"/>
    <w:rsid w:val="00132860"/>
    <w:rsid w:val="00132FEE"/>
    <w:rsid w:val="00133853"/>
    <w:rsid w:val="001343B0"/>
    <w:rsid w:val="00134992"/>
    <w:rsid w:val="00135D79"/>
    <w:rsid w:val="00136720"/>
    <w:rsid w:val="00136AA6"/>
    <w:rsid w:val="00136C29"/>
    <w:rsid w:val="00137944"/>
    <w:rsid w:val="001408A2"/>
    <w:rsid w:val="001430F2"/>
    <w:rsid w:val="00143D54"/>
    <w:rsid w:val="00144B71"/>
    <w:rsid w:val="001453AD"/>
    <w:rsid w:val="00145502"/>
    <w:rsid w:val="00145561"/>
    <w:rsid w:val="0014571E"/>
    <w:rsid w:val="00147691"/>
    <w:rsid w:val="00150531"/>
    <w:rsid w:val="001554A9"/>
    <w:rsid w:val="00164CB2"/>
    <w:rsid w:val="00166D71"/>
    <w:rsid w:val="0017116A"/>
    <w:rsid w:val="001750DB"/>
    <w:rsid w:val="00176845"/>
    <w:rsid w:val="00177077"/>
    <w:rsid w:val="00177C13"/>
    <w:rsid w:val="00177DEA"/>
    <w:rsid w:val="0018100D"/>
    <w:rsid w:val="0018305D"/>
    <w:rsid w:val="00186090"/>
    <w:rsid w:val="00186702"/>
    <w:rsid w:val="00186C1F"/>
    <w:rsid w:val="0019068B"/>
    <w:rsid w:val="00190CDA"/>
    <w:rsid w:val="001920F8"/>
    <w:rsid w:val="00193189"/>
    <w:rsid w:val="001937F2"/>
    <w:rsid w:val="00193855"/>
    <w:rsid w:val="00196E20"/>
    <w:rsid w:val="001A11B6"/>
    <w:rsid w:val="001A1F61"/>
    <w:rsid w:val="001A52C9"/>
    <w:rsid w:val="001A52DD"/>
    <w:rsid w:val="001B0097"/>
    <w:rsid w:val="001B143D"/>
    <w:rsid w:val="001B1A5F"/>
    <w:rsid w:val="001C07AF"/>
    <w:rsid w:val="001C2925"/>
    <w:rsid w:val="001C2BC0"/>
    <w:rsid w:val="001C3018"/>
    <w:rsid w:val="001C5F36"/>
    <w:rsid w:val="001C60EF"/>
    <w:rsid w:val="001C727A"/>
    <w:rsid w:val="001C7D04"/>
    <w:rsid w:val="001D1299"/>
    <w:rsid w:val="001D150B"/>
    <w:rsid w:val="001D33BC"/>
    <w:rsid w:val="001D499A"/>
    <w:rsid w:val="001D5206"/>
    <w:rsid w:val="001E1DB1"/>
    <w:rsid w:val="001E1DC1"/>
    <w:rsid w:val="001E7776"/>
    <w:rsid w:val="001F34A3"/>
    <w:rsid w:val="001F4214"/>
    <w:rsid w:val="001F5E46"/>
    <w:rsid w:val="002024D6"/>
    <w:rsid w:val="00203182"/>
    <w:rsid w:val="0020318D"/>
    <w:rsid w:val="00203A4A"/>
    <w:rsid w:val="00204146"/>
    <w:rsid w:val="002057A2"/>
    <w:rsid w:val="00205F73"/>
    <w:rsid w:val="002122AA"/>
    <w:rsid w:val="00213392"/>
    <w:rsid w:val="002134B0"/>
    <w:rsid w:val="00214171"/>
    <w:rsid w:val="002147C0"/>
    <w:rsid w:val="0021554C"/>
    <w:rsid w:val="002155BC"/>
    <w:rsid w:val="0021591F"/>
    <w:rsid w:val="00215A8B"/>
    <w:rsid w:val="00215FCC"/>
    <w:rsid w:val="00216F12"/>
    <w:rsid w:val="0022001F"/>
    <w:rsid w:val="002246BD"/>
    <w:rsid w:val="0022472C"/>
    <w:rsid w:val="00224E3C"/>
    <w:rsid w:val="00230A71"/>
    <w:rsid w:val="00232799"/>
    <w:rsid w:val="002402D4"/>
    <w:rsid w:val="00241364"/>
    <w:rsid w:val="0024247B"/>
    <w:rsid w:val="00242CF3"/>
    <w:rsid w:val="00245043"/>
    <w:rsid w:val="00245426"/>
    <w:rsid w:val="002528FF"/>
    <w:rsid w:val="00252C7F"/>
    <w:rsid w:val="00253171"/>
    <w:rsid w:val="00254EC8"/>
    <w:rsid w:val="00255355"/>
    <w:rsid w:val="00255D2D"/>
    <w:rsid w:val="00256E90"/>
    <w:rsid w:val="002603F2"/>
    <w:rsid w:val="002609AD"/>
    <w:rsid w:val="00260D50"/>
    <w:rsid w:val="00262A6A"/>
    <w:rsid w:val="00263F55"/>
    <w:rsid w:val="00270E14"/>
    <w:rsid w:val="00273002"/>
    <w:rsid w:val="002740A7"/>
    <w:rsid w:val="002741BD"/>
    <w:rsid w:val="00275E52"/>
    <w:rsid w:val="002762F6"/>
    <w:rsid w:val="002770A0"/>
    <w:rsid w:val="00277FF1"/>
    <w:rsid w:val="0028000E"/>
    <w:rsid w:val="0028145A"/>
    <w:rsid w:val="00283697"/>
    <w:rsid w:val="00284C82"/>
    <w:rsid w:val="0029198A"/>
    <w:rsid w:val="00292E2D"/>
    <w:rsid w:val="00293C45"/>
    <w:rsid w:val="00296C1C"/>
    <w:rsid w:val="002A6123"/>
    <w:rsid w:val="002A7CB9"/>
    <w:rsid w:val="002B02F7"/>
    <w:rsid w:val="002B1CCC"/>
    <w:rsid w:val="002B1D7D"/>
    <w:rsid w:val="002B4677"/>
    <w:rsid w:val="002B5A8F"/>
    <w:rsid w:val="002C1EDB"/>
    <w:rsid w:val="002C2C4A"/>
    <w:rsid w:val="002C2F0A"/>
    <w:rsid w:val="002C40AE"/>
    <w:rsid w:val="002C4B35"/>
    <w:rsid w:val="002C646C"/>
    <w:rsid w:val="002C7295"/>
    <w:rsid w:val="002C77CB"/>
    <w:rsid w:val="002C78EC"/>
    <w:rsid w:val="002C7C3C"/>
    <w:rsid w:val="002C7E48"/>
    <w:rsid w:val="002D1696"/>
    <w:rsid w:val="002D1969"/>
    <w:rsid w:val="002D1F63"/>
    <w:rsid w:val="002D336F"/>
    <w:rsid w:val="002D45C8"/>
    <w:rsid w:val="002D485C"/>
    <w:rsid w:val="002D51B3"/>
    <w:rsid w:val="002E347B"/>
    <w:rsid w:val="002E4E61"/>
    <w:rsid w:val="002E6EF9"/>
    <w:rsid w:val="002E6F99"/>
    <w:rsid w:val="002E72EA"/>
    <w:rsid w:val="002F3B02"/>
    <w:rsid w:val="00301623"/>
    <w:rsid w:val="00302A12"/>
    <w:rsid w:val="00306118"/>
    <w:rsid w:val="00311C82"/>
    <w:rsid w:val="00312994"/>
    <w:rsid w:val="003130BF"/>
    <w:rsid w:val="00315C27"/>
    <w:rsid w:val="00316CE6"/>
    <w:rsid w:val="00321DD1"/>
    <w:rsid w:val="003227EC"/>
    <w:rsid w:val="00323122"/>
    <w:rsid w:val="00323654"/>
    <w:rsid w:val="00324B62"/>
    <w:rsid w:val="00327242"/>
    <w:rsid w:val="003275A7"/>
    <w:rsid w:val="00327DD0"/>
    <w:rsid w:val="0033125C"/>
    <w:rsid w:val="003404B3"/>
    <w:rsid w:val="00342002"/>
    <w:rsid w:val="00342A65"/>
    <w:rsid w:val="00342FC4"/>
    <w:rsid w:val="00343248"/>
    <w:rsid w:val="00344A00"/>
    <w:rsid w:val="00347538"/>
    <w:rsid w:val="00354241"/>
    <w:rsid w:val="003572C3"/>
    <w:rsid w:val="0036321E"/>
    <w:rsid w:val="003636AD"/>
    <w:rsid w:val="00364FD7"/>
    <w:rsid w:val="003723EF"/>
    <w:rsid w:val="003732CF"/>
    <w:rsid w:val="003742A0"/>
    <w:rsid w:val="003760C4"/>
    <w:rsid w:val="0037743B"/>
    <w:rsid w:val="0037784E"/>
    <w:rsid w:val="00382551"/>
    <w:rsid w:val="00383735"/>
    <w:rsid w:val="00385CC2"/>
    <w:rsid w:val="00387B7C"/>
    <w:rsid w:val="00387DEF"/>
    <w:rsid w:val="003934D8"/>
    <w:rsid w:val="003964F2"/>
    <w:rsid w:val="00397421"/>
    <w:rsid w:val="003A01B4"/>
    <w:rsid w:val="003A2EED"/>
    <w:rsid w:val="003A3279"/>
    <w:rsid w:val="003A7385"/>
    <w:rsid w:val="003A79BB"/>
    <w:rsid w:val="003B1474"/>
    <w:rsid w:val="003B18BF"/>
    <w:rsid w:val="003B219E"/>
    <w:rsid w:val="003B31A5"/>
    <w:rsid w:val="003B36BF"/>
    <w:rsid w:val="003B6C9A"/>
    <w:rsid w:val="003C10A6"/>
    <w:rsid w:val="003C11A1"/>
    <w:rsid w:val="003C29AA"/>
    <w:rsid w:val="003C31C5"/>
    <w:rsid w:val="003C43E3"/>
    <w:rsid w:val="003C73C8"/>
    <w:rsid w:val="003C77CD"/>
    <w:rsid w:val="003D08F2"/>
    <w:rsid w:val="003D1681"/>
    <w:rsid w:val="003D2760"/>
    <w:rsid w:val="003D2814"/>
    <w:rsid w:val="003E04ED"/>
    <w:rsid w:val="003E1070"/>
    <w:rsid w:val="003E3DFD"/>
    <w:rsid w:val="003E4FE3"/>
    <w:rsid w:val="003F4CB8"/>
    <w:rsid w:val="003F7459"/>
    <w:rsid w:val="003F7EA0"/>
    <w:rsid w:val="004006F8"/>
    <w:rsid w:val="00400934"/>
    <w:rsid w:val="00400AFF"/>
    <w:rsid w:val="00402F1D"/>
    <w:rsid w:val="0040621C"/>
    <w:rsid w:val="00407772"/>
    <w:rsid w:val="0041372D"/>
    <w:rsid w:val="00413BDE"/>
    <w:rsid w:val="00415158"/>
    <w:rsid w:val="00415998"/>
    <w:rsid w:val="00416050"/>
    <w:rsid w:val="0041646A"/>
    <w:rsid w:val="00417649"/>
    <w:rsid w:val="004217B6"/>
    <w:rsid w:val="004231F6"/>
    <w:rsid w:val="00426E52"/>
    <w:rsid w:val="00427701"/>
    <w:rsid w:val="00430718"/>
    <w:rsid w:val="004332A1"/>
    <w:rsid w:val="00433CF8"/>
    <w:rsid w:val="004353E6"/>
    <w:rsid w:val="0043568A"/>
    <w:rsid w:val="00436066"/>
    <w:rsid w:val="00437546"/>
    <w:rsid w:val="0044100E"/>
    <w:rsid w:val="004444AD"/>
    <w:rsid w:val="004444B4"/>
    <w:rsid w:val="004460FF"/>
    <w:rsid w:val="00447576"/>
    <w:rsid w:val="004511A2"/>
    <w:rsid w:val="0045162F"/>
    <w:rsid w:val="004524BA"/>
    <w:rsid w:val="00460F70"/>
    <w:rsid w:val="00461235"/>
    <w:rsid w:val="004616EE"/>
    <w:rsid w:val="004641BD"/>
    <w:rsid w:val="00465696"/>
    <w:rsid w:val="00467014"/>
    <w:rsid w:val="00472275"/>
    <w:rsid w:val="00473BA7"/>
    <w:rsid w:val="0047442C"/>
    <w:rsid w:val="00475C76"/>
    <w:rsid w:val="00476910"/>
    <w:rsid w:val="004775A3"/>
    <w:rsid w:val="0048053F"/>
    <w:rsid w:val="00480F13"/>
    <w:rsid w:val="00481A96"/>
    <w:rsid w:val="004864E1"/>
    <w:rsid w:val="00486D5A"/>
    <w:rsid w:val="0048755A"/>
    <w:rsid w:val="00490643"/>
    <w:rsid w:val="004908C7"/>
    <w:rsid w:val="00491D33"/>
    <w:rsid w:val="00493CF1"/>
    <w:rsid w:val="00493F74"/>
    <w:rsid w:val="00495508"/>
    <w:rsid w:val="004A019D"/>
    <w:rsid w:val="004A7221"/>
    <w:rsid w:val="004C255D"/>
    <w:rsid w:val="004C4813"/>
    <w:rsid w:val="004C4865"/>
    <w:rsid w:val="004D0AF2"/>
    <w:rsid w:val="004D1548"/>
    <w:rsid w:val="004D2F3E"/>
    <w:rsid w:val="004D4675"/>
    <w:rsid w:val="004D4A35"/>
    <w:rsid w:val="004D5792"/>
    <w:rsid w:val="004D65DF"/>
    <w:rsid w:val="004D7826"/>
    <w:rsid w:val="004E1B08"/>
    <w:rsid w:val="004E43B0"/>
    <w:rsid w:val="004E4AA9"/>
    <w:rsid w:val="004E5630"/>
    <w:rsid w:val="004F2A79"/>
    <w:rsid w:val="004F6699"/>
    <w:rsid w:val="004F6A79"/>
    <w:rsid w:val="004F6E2F"/>
    <w:rsid w:val="00503E92"/>
    <w:rsid w:val="005056EB"/>
    <w:rsid w:val="0050790B"/>
    <w:rsid w:val="00507C4F"/>
    <w:rsid w:val="00511F94"/>
    <w:rsid w:val="00512A4E"/>
    <w:rsid w:val="00512B79"/>
    <w:rsid w:val="005137B7"/>
    <w:rsid w:val="00514F87"/>
    <w:rsid w:val="00516141"/>
    <w:rsid w:val="00517F7D"/>
    <w:rsid w:val="005203DD"/>
    <w:rsid w:val="00520410"/>
    <w:rsid w:val="00521201"/>
    <w:rsid w:val="00523E4B"/>
    <w:rsid w:val="005354C0"/>
    <w:rsid w:val="00537728"/>
    <w:rsid w:val="005377BA"/>
    <w:rsid w:val="00542152"/>
    <w:rsid w:val="00542F08"/>
    <w:rsid w:val="0054315A"/>
    <w:rsid w:val="0054374D"/>
    <w:rsid w:val="005453AF"/>
    <w:rsid w:val="00547C9E"/>
    <w:rsid w:val="0055004B"/>
    <w:rsid w:val="005508EA"/>
    <w:rsid w:val="00550A23"/>
    <w:rsid w:val="00550FEA"/>
    <w:rsid w:val="005522BE"/>
    <w:rsid w:val="005522CA"/>
    <w:rsid w:val="00555AFC"/>
    <w:rsid w:val="0055609F"/>
    <w:rsid w:val="00556737"/>
    <w:rsid w:val="00556EBF"/>
    <w:rsid w:val="00560DBB"/>
    <w:rsid w:val="0056313A"/>
    <w:rsid w:val="00566B7C"/>
    <w:rsid w:val="0056784D"/>
    <w:rsid w:val="005737F7"/>
    <w:rsid w:val="005756F4"/>
    <w:rsid w:val="00580F71"/>
    <w:rsid w:val="00582989"/>
    <w:rsid w:val="00593748"/>
    <w:rsid w:val="005964DE"/>
    <w:rsid w:val="00597838"/>
    <w:rsid w:val="005A0EAB"/>
    <w:rsid w:val="005A19DC"/>
    <w:rsid w:val="005A1F44"/>
    <w:rsid w:val="005B0062"/>
    <w:rsid w:val="005B11AA"/>
    <w:rsid w:val="005B321B"/>
    <w:rsid w:val="005B3E9A"/>
    <w:rsid w:val="005B4302"/>
    <w:rsid w:val="005B4D40"/>
    <w:rsid w:val="005B7813"/>
    <w:rsid w:val="005C077A"/>
    <w:rsid w:val="005C0C51"/>
    <w:rsid w:val="005C0E4D"/>
    <w:rsid w:val="005C1E4A"/>
    <w:rsid w:val="005C4C2B"/>
    <w:rsid w:val="005C52EF"/>
    <w:rsid w:val="005C569E"/>
    <w:rsid w:val="005C5D9E"/>
    <w:rsid w:val="005C6C35"/>
    <w:rsid w:val="005D0D76"/>
    <w:rsid w:val="005D15E5"/>
    <w:rsid w:val="005D2840"/>
    <w:rsid w:val="005E07F5"/>
    <w:rsid w:val="005E391C"/>
    <w:rsid w:val="005E4697"/>
    <w:rsid w:val="005E51D8"/>
    <w:rsid w:val="005E690E"/>
    <w:rsid w:val="005F073B"/>
    <w:rsid w:val="005F476A"/>
    <w:rsid w:val="005F7AB9"/>
    <w:rsid w:val="00601502"/>
    <w:rsid w:val="0060626A"/>
    <w:rsid w:val="00606621"/>
    <w:rsid w:val="0060734F"/>
    <w:rsid w:val="0060740D"/>
    <w:rsid w:val="0061111D"/>
    <w:rsid w:val="006120CE"/>
    <w:rsid w:val="00613643"/>
    <w:rsid w:val="00616244"/>
    <w:rsid w:val="00616C1B"/>
    <w:rsid w:val="0062161C"/>
    <w:rsid w:val="00623E11"/>
    <w:rsid w:val="00624CAA"/>
    <w:rsid w:val="00625A5A"/>
    <w:rsid w:val="006347B1"/>
    <w:rsid w:val="006354D9"/>
    <w:rsid w:val="006359D6"/>
    <w:rsid w:val="00635A5A"/>
    <w:rsid w:val="00643BA6"/>
    <w:rsid w:val="00643F22"/>
    <w:rsid w:val="00644DB9"/>
    <w:rsid w:val="00646A8B"/>
    <w:rsid w:val="00653608"/>
    <w:rsid w:val="00654CBD"/>
    <w:rsid w:val="00655083"/>
    <w:rsid w:val="0065674E"/>
    <w:rsid w:val="00663636"/>
    <w:rsid w:val="00666EA9"/>
    <w:rsid w:val="00673A12"/>
    <w:rsid w:val="00674190"/>
    <w:rsid w:val="006760E5"/>
    <w:rsid w:val="00676FE6"/>
    <w:rsid w:val="00684BAC"/>
    <w:rsid w:val="00687AC1"/>
    <w:rsid w:val="006913C2"/>
    <w:rsid w:val="00692282"/>
    <w:rsid w:val="00695BCF"/>
    <w:rsid w:val="006973E7"/>
    <w:rsid w:val="006A062D"/>
    <w:rsid w:val="006A1681"/>
    <w:rsid w:val="006A3705"/>
    <w:rsid w:val="006A73C0"/>
    <w:rsid w:val="006B0261"/>
    <w:rsid w:val="006B3705"/>
    <w:rsid w:val="006B4663"/>
    <w:rsid w:val="006B4F45"/>
    <w:rsid w:val="006B6036"/>
    <w:rsid w:val="006C2F0A"/>
    <w:rsid w:val="006C3AE4"/>
    <w:rsid w:val="006C4218"/>
    <w:rsid w:val="006C4F04"/>
    <w:rsid w:val="006C72A2"/>
    <w:rsid w:val="006C78A3"/>
    <w:rsid w:val="006D0366"/>
    <w:rsid w:val="006D2CD1"/>
    <w:rsid w:val="006D3975"/>
    <w:rsid w:val="006E10C1"/>
    <w:rsid w:val="006E1140"/>
    <w:rsid w:val="006E1490"/>
    <w:rsid w:val="006E4F1E"/>
    <w:rsid w:val="006E5E1E"/>
    <w:rsid w:val="006F014F"/>
    <w:rsid w:val="006F18A0"/>
    <w:rsid w:val="006F461B"/>
    <w:rsid w:val="006F51BF"/>
    <w:rsid w:val="007024FC"/>
    <w:rsid w:val="00703825"/>
    <w:rsid w:val="00707379"/>
    <w:rsid w:val="00710D4B"/>
    <w:rsid w:val="00713EA5"/>
    <w:rsid w:val="007178E6"/>
    <w:rsid w:val="007234EF"/>
    <w:rsid w:val="00723A16"/>
    <w:rsid w:val="00724066"/>
    <w:rsid w:val="0072559F"/>
    <w:rsid w:val="00725883"/>
    <w:rsid w:val="00727EA6"/>
    <w:rsid w:val="00730EC3"/>
    <w:rsid w:val="00732650"/>
    <w:rsid w:val="0073521B"/>
    <w:rsid w:val="007422B0"/>
    <w:rsid w:val="0074241F"/>
    <w:rsid w:val="00750AD2"/>
    <w:rsid w:val="00752BBC"/>
    <w:rsid w:val="007545F9"/>
    <w:rsid w:val="00754A06"/>
    <w:rsid w:val="007570F6"/>
    <w:rsid w:val="00757D02"/>
    <w:rsid w:val="00761475"/>
    <w:rsid w:val="007630BE"/>
    <w:rsid w:val="0076416E"/>
    <w:rsid w:val="00772011"/>
    <w:rsid w:val="007743C5"/>
    <w:rsid w:val="00775B25"/>
    <w:rsid w:val="00776618"/>
    <w:rsid w:val="007769E5"/>
    <w:rsid w:val="00777D3A"/>
    <w:rsid w:val="00780341"/>
    <w:rsid w:val="0078040F"/>
    <w:rsid w:val="00781E9F"/>
    <w:rsid w:val="00783B29"/>
    <w:rsid w:val="00785A24"/>
    <w:rsid w:val="00790710"/>
    <w:rsid w:val="007924E6"/>
    <w:rsid w:val="007935AD"/>
    <w:rsid w:val="007939B0"/>
    <w:rsid w:val="00795592"/>
    <w:rsid w:val="007A6D86"/>
    <w:rsid w:val="007B0678"/>
    <w:rsid w:val="007B1029"/>
    <w:rsid w:val="007B276B"/>
    <w:rsid w:val="007B302E"/>
    <w:rsid w:val="007B3656"/>
    <w:rsid w:val="007C09EC"/>
    <w:rsid w:val="007C5A0A"/>
    <w:rsid w:val="007C6447"/>
    <w:rsid w:val="007D0C11"/>
    <w:rsid w:val="007D1632"/>
    <w:rsid w:val="007D1B8B"/>
    <w:rsid w:val="007D3CAA"/>
    <w:rsid w:val="007D5C05"/>
    <w:rsid w:val="007D60D8"/>
    <w:rsid w:val="007E0F3D"/>
    <w:rsid w:val="007E3425"/>
    <w:rsid w:val="007E35FB"/>
    <w:rsid w:val="007E4C95"/>
    <w:rsid w:val="007E7FF2"/>
    <w:rsid w:val="007F3444"/>
    <w:rsid w:val="007F38AC"/>
    <w:rsid w:val="007F4887"/>
    <w:rsid w:val="007F6341"/>
    <w:rsid w:val="007F73C2"/>
    <w:rsid w:val="007F76CD"/>
    <w:rsid w:val="0080040C"/>
    <w:rsid w:val="00800A95"/>
    <w:rsid w:val="00800DE1"/>
    <w:rsid w:val="00801711"/>
    <w:rsid w:val="0080324C"/>
    <w:rsid w:val="00803F1F"/>
    <w:rsid w:val="00805278"/>
    <w:rsid w:val="0081688E"/>
    <w:rsid w:val="00816DC6"/>
    <w:rsid w:val="00822364"/>
    <w:rsid w:val="008242E1"/>
    <w:rsid w:val="00824D22"/>
    <w:rsid w:val="00825B27"/>
    <w:rsid w:val="00831688"/>
    <w:rsid w:val="00832040"/>
    <w:rsid w:val="00834477"/>
    <w:rsid w:val="00834D33"/>
    <w:rsid w:val="008472B9"/>
    <w:rsid w:val="00847F95"/>
    <w:rsid w:val="008518E3"/>
    <w:rsid w:val="0085255D"/>
    <w:rsid w:val="00853CC9"/>
    <w:rsid w:val="00854622"/>
    <w:rsid w:val="00854828"/>
    <w:rsid w:val="00855B3A"/>
    <w:rsid w:val="00865F19"/>
    <w:rsid w:val="00866E69"/>
    <w:rsid w:val="008723CB"/>
    <w:rsid w:val="008741BE"/>
    <w:rsid w:val="00877AF3"/>
    <w:rsid w:val="00881F7C"/>
    <w:rsid w:val="00882818"/>
    <w:rsid w:val="0088323B"/>
    <w:rsid w:val="00885248"/>
    <w:rsid w:val="00886112"/>
    <w:rsid w:val="0088646B"/>
    <w:rsid w:val="0088653B"/>
    <w:rsid w:val="00890ADA"/>
    <w:rsid w:val="00892B17"/>
    <w:rsid w:val="008930A0"/>
    <w:rsid w:val="0089505B"/>
    <w:rsid w:val="008952D6"/>
    <w:rsid w:val="00895BEE"/>
    <w:rsid w:val="00896800"/>
    <w:rsid w:val="008A0558"/>
    <w:rsid w:val="008A19FD"/>
    <w:rsid w:val="008B141B"/>
    <w:rsid w:val="008B395D"/>
    <w:rsid w:val="008B4042"/>
    <w:rsid w:val="008B4844"/>
    <w:rsid w:val="008B5F5A"/>
    <w:rsid w:val="008C2E13"/>
    <w:rsid w:val="008C3E42"/>
    <w:rsid w:val="008C40FA"/>
    <w:rsid w:val="008D088A"/>
    <w:rsid w:val="008D11A6"/>
    <w:rsid w:val="008D3556"/>
    <w:rsid w:val="008D4CA8"/>
    <w:rsid w:val="008E0C55"/>
    <w:rsid w:val="008E1AE1"/>
    <w:rsid w:val="008E39F1"/>
    <w:rsid w:val="008F157F"/>
    <w:rsid w:val="008F2CCC"/>
    <w:rsid w:val="008F6C82"/>
    <w:rsid w:val="008F6D54"/>
    <w:rsid w:val="0090225F"/>
    <w:rsid w:val="009022EC"/>
    <w:rsid w:val="009039B7"/>
    <w:rsid w:val="00904014"/>
    <w:rsid w:val="009052D1"/>
    <w:rsid w:val="00907041"/>
    <w:rsid w:val="009073FA"/>
    <w:rsid w:val="0090796B"/>
    <w:rsid w:val="0091063E"/>
    <w:rsid w:val="00911404"/>
    <w:rsid w:val="009136D1"/>
    <w:rsid w:val="009136EC"/>
    <w:rsid w:val="009158DD"/>
    <w:rsid w:val="00915BE3"/>
    <w:rsid w:val="0091681B"/>
    <w:rsid w:val="00916CBC"/>
    <w:rsid w:val="00921510"/>
    <w:rsid w:val="00922B38"/>
    <w:rsid w:val="00923CA3"/>
    <w:rsid w:val="009307AE"/>
    <w:rsid w:val="00933EF1"/>
    <w:rsid w:val="00935FEE"/>
    <w:rsid w:val="00940615"/>
    <w:rsid w:val="00943105"/>
    <w:rsid w:val="00943340"/>
    <w:rsid w:val="009508E5"/>
    <w:rsid w:val="00950AE6"/>
    <w:rsid w:val="00956640"/>
    <w:rsid w:val="00957FA7"/>
    <w:rsid w:val="00962654"/>
    <w:rsid w:val="00966304"/>
    <w:rsid w:val="00972B49"/>
    <w:rsid w:val="00973916"/>
    <w:rsid w:val="0097459C"/>
    <w:rsid w:val="00974FF4"/>
    <w:rsid w:val="009758C4"/>
    <w:rsid w:val="00977BA8"/>
    <w:rsid w:val="0098103A"/>
    <w:rsid w:val="00982154"/>
    <w:rsid w:val="00982783"/>
    <w:rsid w:val="009828DC"/>
    <w:rsid w:val="00984672"/>
    <w:rsid w:val="0098549D"/>
    <w:rsid w:val="00986F6B"/>
    <w:rsid w:val="009925FE"/>
    <w:rsid w:val="00993405"/>
    <w:rsid w:val="00993F2D"/>
    <w:rsid w:val="00997BF8"/>
    <w:rsid w:val="009A185E"/>
    <w:rsid w:val="009A2B87"/>
    <w:rsid w:val="009A44C3"/>
    <w:rsid w:val="009A6EC1"/>
    <w:rsid w:val="009B0939"/>
    <w:rsid w:val="009B109B"/>
    <w:rsid w:val="009B2982"/>
    <w:rsid w:val="009B55A6"/>
    <w:rsid w:val="009B5A79"/>
    <w:rsid w:val="009B705F"/>
    <w:rsid w:val="009B7EEB"/>
    <w:rsid w:val="009C113E"/>
    <w:rsid w:val="009D0072"/>
    <w:rsid w:val="009D1BD2"/>
    <w:rsid w:val="009D703D"/>
    <w:rsid w:val="009E27B7"/>
    <w:rsid w:val="009E3C08"/>
    <w:rsid w:val="009E57C9"/>
    <w:rsid w:val="009E66A1"/>
    <w:rsid w:val="009E6ED7"/>
    <w:rsid w:val="009E6FE0"/>
    <w:rsid w:val="009F0463"/>
    <w:rsid w:val="009F0E63"/>
    <w:rsid w:val="009F29EA"/>
    <w:rsid w:val="009F5A8F"/>
    <w:rsid w:val="009F67A4"/>
    <w:rsid w:val="009F6B65"/>
    <w:rsid w:val="00A0089E"/>
    <w:rsid w:val="00A04433"/>
    <w:rsid w:val="00A0637A"/>
    <w:rsid w:val="00A10B0D"/>
    <w:rsid w:val="00A12D41"/>
    <w:rsid w:val="00A147CD"/>
    <w:rsid w:val="00A1711D"/>
    <w:rsid w:val="00A21788"/>
    <w:rsid w:val="00A24314"/>
    <w:rsid w:val="00A247EF"/>
    <w:rsid w:val="00A25E16"/>
    <w:rsid w:val="00A26AF7"/>
    <w:rsid w:val="00A26FC4"/>
    <w:rsid w:val="00A3005D"/>
    <w:rsid w:val="00A32CCF"/>
    <w:rsid w:val="00A339A2"/>
    <w:rsid w:val="00A34EE8"/>
    <w:rsid w:val="00A3702E"/>
    <w:rsid w:val="00A375D1"/>
    <w:rsid w:val="00A42E72"/>
    <w:rsid w:val="00A51050"/>
    <w:rsid w:val="00A52EC1"/>
    <w:rsid w:val="00A5446A"/>
    <w:rsid w:val="00A5663A"/>
    <w:rsid w:val="00A5722F"/>
    <w:rsid w:val="00A608EB"/>
    <w:rsid w:val="00A609EC"/>
    <w:rsid w:val="00A61EB3"/>
    <w:rsid w:val="00A62422"/>
    <w:rsid w:val="00A62C6B"/>
    <w:rsid w:val="00A66EEA"/>
    <w:rsid w:val="00A67B26"/>
    <w:rsid w:val="00A712FC"/>
    <w:rsid w:val="00A713D9"/>
    <w:rsid w:val="00A74F9C"/>
    <w:rsid w:val="00A75124"/>
    <w:rsid w:val="00A77BD6"/>
    <w:rsid w:val="00A816DD"/>
    <w:rsid w:val="00A82573"/>
    <w:rsid w:val="00A83941"/>
    <w:rsid w:val="00A867E2"/>
    <w:rsid w:val="00A87D6A"/>
    <w:rsid w:val="00A90699"/>
    <w:rsid w:val="00A908A7"/>
    <w:rsid w:val="00A9157F"/>
    <w:rsid w:val="00A93F60"/>
    <w:rsid w:val="00A957C4"/>
    <w:rsid w:val="00A96D26"/>
    <w:rsid w:val="00AA045B"/>
    <w:rsid w:val="00AA1F91"/>
    <w:rsid w:val="00AA3280"/>
    <w:rsid w:val="00AA338C"/>
    <w:rsid w:val="00AA5933"/>
    <w:rsid w:val="00AA5F1C"/>
    <w:rsid w:val="00AA75D4"/>
    <w:rsid w:val="00AB0589"/>
    <w:rsid w:val="00AB0E8A"/>
    <w:rsid w:val="00AB1CBE"/>
    <w:rsid w:val="00AB5682"/>
    <w:rsid w:val="00AC1908"/>
    <w:rsid w:val="00AC6AAF"/>
    <w:rsid w:val="00AD1A46"/>
    <w:rsid w:val="00AD2129"/>
    <w:rsid w:val="00AD2672"/>
    <w:rsid w:val="00AE1B0C"/>
    <w:rsid w:val="00AE50D5"/>
    <w:rsid w:val="00AE7552"/>
    <w:rsid w:val="00AF2E4A"/>
    <w:rsid w:val="00AF5095"/>
    <w:rsid w:val="00AF536A"/>
    <w:rsid w:val="00AF5FA3"/>
    <w:rsid w:val="00B008AD"/>
    <w:rsid w:val="00B038BC"/>
    <w:rsid w:val="00B11AB0"/>
    <w:rsid w:val="00B12D51"/>
    <w:rsid w:val="00B15076"/>
    <w:rsid w:val="00B15243"/>
    <w:rsid w:val="00B15801"/>
    <w:rsid w:val="00B1665D"/>
    <w:rsid w:val="00B16CDC"/>
    <w:rsid w:val="00B171FE"/>
    <w:rsid w:val="00B20E71"/>
    <w:rsid w:val="00B226BD"/>
    <w:rsid w:val="00B31298"/>
    <w:rsid w:val="00B33CB5"/>
    <w:rsid w:val="00B358C3"/>
    <w:rsid w:val="00B372A8"/>
    <w:rsid w:val="00B425D0"/>
    <w:rsid w:val="00B50EE7"/>
    <w:rsid w:val="00B510F4"/>
    <w:rsid w:val="00B55307"/>
    <w:rsid w:val="00B603C6"/>
    <w:rsid w:val="00B606ED"/>
    <w:rsid w:val="00B64288"/>
    <w:rsid w:val="00B64412"/>
    <w:rsid w:val="00B6642F"/>
    <w:rsid w:val="00B66D08"/>
    <w:rsid w:val="00B677CB"/>
    <w:rsid w:val="00B70189"/>
    <w:rsid w:val="00B744FB"/>
    <w:rsid w:val="00B77413"/>
    <w:rsid w:val="00B803A0"/>
    <w:rsid w:val="00B81557"/>
    <w:rsid w:val="00B815D7"/>
    <w:rsid w:val="00B8189D"/>
    <w:rsid w:val="00B83660"/>
    <w:rsid w:val="00B84D34"/>
    <w:rsid w:val="00B875BC"/>
    <w:rsid w:val="00B8778A"/>
    <w:rsid w:val="00B87C81"/>
    <w:rsid w:val="00B90324"/>
    <w:rsid w:val="00B90B1C"/>
    <w:rsid w:val="00B916BB"/>
    <w:rsid w:val="00B918A8"/>
    <w:rsid w:val="00B92180"/>
    <w:rsid w:val="00B92EE1"/>
    <w:rsid w:val="00B965F1"/>
    <w:rsid w:val="00B97816"/>
    <w:rsid w:val="00BA05BE"/>
    <w:rsid w:val="00BA080E"/>
    <w:rsid w:val="00BA2DA7"/>
    <w:rsid w:val="00BA3D61"/>
    <w:rsid w:val="00BA4724"/>
    <w:rsid w:val="00BA5047"/>
    <w:rsid w:val="00BA631B"/>
    <w:rsid w:val="00BB3FC6"/>
    <w:rsid w:val="00BB422B"/>
    <w:rsid w:val="00BB589D"/>
    <w:rsid w:val="00BB6891"/>
    <w:rsid w:val="00BB6D82"/>
    <w:rsid w:val="00BC251E"/>
    <w:rsid w:val="00BC47D1"/>
    <w:rsid w:val="00BC6ADA"/>
    <w:rsid w:val="00BD17DF"/>
    <w:rsid w:val="00BD2ECB"/>
    <w:rsid w:val="00BE0DA4"/>
    <w:rsid w:val="00BE0DAB"/>
    <w:rsid w:val="00BE32D0"/>
    <w:rsid w:val="00BE391D"/>
    <w:rsid w:val="00BE3C6A"/>
    <w:rsid w:val="00BE6E33"/>
    <w:rsid w:val="00BF02AC"/>
    <w:rsid w:val="00BF3319"/>
    <w:rsid w:val="00BF3396"/>
    <w:rsid w:val="00BF47E0"/>
    <w:rsid w:val="00BF53A6"/>
    <w:rsid w:val="00BF757D"/>
    <w:rsid w:val="00BF7F90"/>
    <w:rsid w:val="00C00DC7"/>
    <w:rsid w:val="00C03C5B"/>
    <w:rsid w:val="00C0556F"/>
    <w:rsid w:val="00C05644"/>
    <w:rsid w:val="00C079F0"/>
    <w:rsid w:val="00C10DD4"/>
    <w:rsid w:val="00C136F8"/>
    <w:rsid w:val="00C16B7C"/>
    <w:rsid w:val="00C178BC"/>
    <w:rsid w:val="00C20D24"/>
    <w:rsid w:val="00C21130"/>
    <w:rsid w:val="00C2143D"/>
    <w:rsid w:val="00C23BF5"/>
    <w:rsid w:val="00C247FF"/>
    <w:rsid w:val="00C25EF3"/>
    <w:rsid w:val="00C27D3B"/>
    <w:rsid w:val="00C307F2"/>
    <w:rsid w:val="00C30F49"/>
    <w:rsid w:val="00C314D3"/>
    <w:rsid w:val="00C34D9C"/>
    <w:rsid w:val="00C351C5"/>
    <w:rsid w:val="00C35973"/>
    <w:rsid w:val="00C361B0"/>
    <w:rsid w:val="00C405F8"/>
    <w:rsid w:val="00C40B38"/>
    <w:rsid w:val="00C44447"/>
    <w:rsid w:val="00C45CE3"/>
    <w:rsid w:val="00C50C6A"/>
    <w:rsid w:val="00C527E7"/>
    <w:rsid w:val="00C54D47"/>
    <w:rsid w:val="00C554DF"/>
    <w:rsid w:val="00C555AE"/>
    <w:rsid w:val="00C57544"/>
    <w:rsid w:val="00C575FB"/>
    <w:rsid w:val="00C63396"/>
    <w:rsid w:val="00C6742A"/>
    <w:rsid w:val="00C70BFE"/>
    <w:rsid w:val="00C7110F"/>
    <w:rsid w:val="00C7190A"/>
    <w:rsid w:val="00C71FBB"/>
    <w:rsid w:val="00C74F56"/>
    <w:rsid w:val="00C75A59"/>
    <w:rsid w:val="00C75F48"/>
    <w:rsid w:val="00C82F57"/>
    <w:rsid w:val="00C83327"/>
    <w:rsid w:val="00C86409"/>
    <w:rsid w:val="00C87470"/>
    <w:rsid w:val="00C87A06"/>
    <w:rsid w:val="00C9099F"/>
    <w:rsid w:val="00C90A1A"/>
    <w:rsid w:val="00C9177E"/>
    <w:rsid w:val="00C95F4D"/>
    <w:rsid w:val="00CA11C7"/>
    <w:rsid w:val="00CA436F"/>
    <w:rsid w:val="00CB34AF"/>
    <w:rsid w:val="00CC0B1D"/>
    <w:rsid w:val="00CC1794"/>
    <w:rsid w:val="00CC56EE"/>
    <w:rsid w:val="00CC5B93"/>
    <w:rsid w:val="00CC6BF1"/>
    <w:rsid w:val="00CC7E3A"/>
    <w:rsid w:val="00CD0090"/>
    <w:rsid w:val="00CD1EA1"/>
    <w:rsid w:val="00CD315F"/>
    <w:rsid w:val="00CD4392"/>
    <w:rsid w:val="00CD6CDE"/>
    <w:rsid w:val="00CD73DD"/>
    <w:rsid w:val="00CE196A"/>
    <w:rsid w:val="00CE19EC"/>
    <w:rsid w:val="00CE4F43"/>
    <w:rsid w:val="00CE70E2"/>
    <w:rsid w:val="00CF0606"/>
    <w:rsid w:val="00CF0DE2"/>
    <w:rsid w:val="00CF0FBA"/>
    <w:rsid w:val="00CF1968"/>
    <w:rsid w:val="00CF237B"/>
    <w:rsid w:val="00CF2879"/>
    <w:rsid w:val="00CF289D"/>
    <w:rsid w:val="00CF706E"/>
    <w:rsid w:val="00D00F2E"/>
    <w:rsid w:val="00D00FAE"/>
    <w:rsid w:val="00D017C5"/>
    <w:rsid w:val="00D03962"/>
    <w:rsid w:val="00D0456D"/>
    <w:rsid w:val="00D04719"/>
    <w:rsid w:val="00D05970"/>
    <w:rsid w:val="00D05BC7"/>
    <w:rsid w:val="00D11FEC"/>
    <w:rsid w:val="00D129FA"/>
    <w:rsid w:val="00D12B30"/>
    <w:rsid w:val="00D146AE"/>
    <w:rsid w:val="00D31930"/>
    <w:rsid w:val="00D31EB1"/>
    <w:rsid w:val="00D35B24"/>
    <w:rsid w:val="00D370D8"/>
    <w:rsid w:val="00D42B2A"/>
    <w:rsid w:val="00D452DB"/>
    <w:rsid w:val="00D4562C"/>
    <w:rsid w:val="00D46636"/>
    <w:rsid w:val="00D50B91"/>
    <w:rsid w:val="00D5243C"/>
    <w:rsid w:val="00D53B13"/>
    <w:rsid w:val="00D54AAF"/>
    <w:rsid w:val="00D56987"/>
    <w:rsid w:val="00D5747E"/>
    <w:rsid w:val="00D61A9B"/>
    <w:rsid w:val="00D64394"/>
    <w:rsid w:val="00D64A71"/>
    <w:rsid w:val="00D677CF"/>
    <w:rsid w:val="00D70C23"/>
    <w:rsid w:val="00D73329"/>
    <w:rsid w:val="00D73ECF"/>
    <w:rsid w:val="00D76852"/>
    <w:rsid w:val="00D80120"/>
    <w:rsid w:val="00D80165"/>
    <w:rsid w:val="00D8116C"/>
    <w:rsid w:val="00D860FA"/>
    <w:rsid w:val="00D86501"/>
    <w:rsid w:val="00D86BE7"/>
    <w:rsid w:val="00D8720D"/>
    <w:rsid w:val="00D87596"/>
    <w:rsid w:val="00D87644"/>
    <w:rsid w:val="00D90B70"/>
    <w:rsid w:val="00D918A0"/>
    <w:rsid w:val="00D93888"/>
    <w:rsid w:val="00D95264"/>
    <w:rsid w:val="00D955D8"/>
    <w:rsid w:val="00D96D8A"/>
    <w:rsid w:val="00DA62D2"/>
    <w:rsid w:val="00DA6A06"/>
    <w:rsid w:val="00DA79BC"/>
    <w:rsid w:val="00DB07B5"/>
    <w:rsid w:val="00DB21AD"/>
    <w:rsid w:val="00DB2F35"/>
    <w:rsid w:val="00DB5933"/>
    <w:rsid w:val="00DC11E7"/>
    <w:rsid w:val="00DC18A9"/>
    <w:rsid w:val="00DC3749"/>
    <w:rsid w:val="00DC37A3"/>
    <w:rsid w:val="00DC4468"/>
    <w:rsid w:val="00DC5B53"/>
    <w:rsid w:val="00DD0941"/>
    <w:rsid w:val="00DD1A4A"/>
    <w:rsid w:val="00DD3356"/>
    <w:rsid w:val="00DD405C"/>
    <w:rsid w:val="00DD4EEF"/>
    <w:rsid w:val="00DD76F4"/>
    <w:rsid w:val="00DE18EB"/>
    <w:rsid w:val="00DE2C28"/>
    <w:rsid w:val="00DE3A5B"/>
    <w:rsid w:val="00DE6456"/>
    <w:rsid w:val="00DF052E"/>
    <w:rsid w:val="00DF42B4"/>
    <w:rsid w:val="00E0369E"/>
    <w:rsid w:val="00E05BDE"/>
    <w:rsid w:val="00E07DD7"/>
    <w:rsid w:val="00E11111"/>
    <w:rsid w:val="00E11707"/>
    <w:rsid w:val="00E13FE0"/>
    <w:rsid w:val="00E14ACF"/>
    <w:rsid w:val="00E1550D"/>
    <w:rsid w:val="00E15C28"/>
    <w:rsid w:val="00E20EB8"/>
    <w:rsid w:val="00E2474D"/>
    <w:rsid w:val="00E24FC7"/>
    <w:rsid w:val="00E25EEC"/>
    <w:rsid w:val="00E27B3A"/>
    <w:rsid w:val="00E305F2"/>
    <w:rsid w:val="00E30D7F"/>
    <w:rsid w:val="00E3179A"/>
    <w:rsid w:val="00E31EFC"/>
    <w:rsid w:val="00E330AA"/>
    <w:rsid w:val="00E330CF"/>
    <w:rsid w:val="00E334C4"/>
    <w:rsid w:val="00E36625"/>
    <w:rsid w:val="00E367D1"/>
    <w:rsid w:val="00E36D97"/>
    <w:rsid w:val="00E40325"/>
    <w:rsid w:val="00E404CB"/>
    <w:rsid w:val="00E41A5E"/>
    <w:rsid w:val="00E514C8"/>
    <w:rsid w:val="00E52634"/>
    <w:rsid w:val="00E56720"/>
    <w:rsid w:val="00E63E5D"/>
    <w:rsid w:val="00E6592F"/>
    <w:rsid w:val="00E67B8D"/>
    <w:rsid w:val="00E707E3"/>
    <w:rsid w:val="00E70B3F"/>
    <w:rsid w:val="00E70F79"/>
    <w:rsid w:val="00E71211"/>
    <w:rsid w:val="00E71D3A"/>
    <w:rsid w:val="00E7436A"/>
    <w:rsid w:val="00E74D7E"/>
    <w:rsid w:val="00E75AAF"/>
    <w:rsid w:val="00E76669"/>
    <w:rsid w:val="00E7679A"/>
    <w:rsid w:val="00E772F5"/>
    <w:rsid w:val="00E80CC8"/>
    <w:rsid w:val="00E81451"/>
    <w:rsid w:val="00E82167"/>
    <w:rsid w:val="00E8470E"/>
    <w:rsid w:val="00E858D8"/>
    <w:rsid w:val="00E87CB9"/>
    <w:rsid w:val="00E9204D"/>
    <w:rsid w:val="00E935AC"/>
    <w:rsid w:val="00E94084"/>
    <w:rsid w:val="00E95FDD"/>
    <w:rsid w:val="00E97F6E"/>
    <w:rsid w:val="00EA3826"/>
    <w:rsid w:val="00EA3F0E"/>
    <w:rsid w:val="00EA76D8"/>
    <w:rsid w:val="00EB2543"/>
    <w:rsid w:val="00EB2A50"/>
    <w:rsid w:val="00EB2A60"/>
    <w:rsid w:val="00EB5F08"/>
    <w:rsid w:val="00EB7268"/>
    <w:rsid w:val="00EC0ED4"/>
    <w:rsid w:val="00EC1DCF"/>
    <w:rsid w:val="00EC26BC"/>
    <w:rsid w:val="00ED2E37"/>
    <w:rsid w:val="00ED43B9"/>
    <w:rsid w:val="00ED5439"/>
    <w:rsid w:val="00ED658A"/>
    <w:rsid w:val="00EE1788"/>
    <w:rsid w:val="00EE5119"/>
    <w:rsid w:val="00EE5B75"/>
    <w:rsid w:val="00EF5B30"/>
    <w:rsid w:val="00EF7B85"/>
    <w:rsid w:val="00F0016A"/>
    <w:rsid w:val="00F00F27"/>
    <w:rsid w:val="00F01F8B"/>
    <w:rsid w:val="00F044DD"/>
    <w:rsid w:val="00F054DD"/>
    <w:rsid w:val="00F05BB8"/>
    <w:rsid w:val="00F10480"/>
    <w:rsid w:val="00F109B3"/>
    <w:rsid w:val="00F11001"/>
    <w:rsid w:val="00F12D26"/>
    <w:rsid w:val="00F12DD7"/>
    <w:rsid w:val="00F12FBD"/>
    <w:rsid w:val="00F158FA"/>
    <w:rsid w:val="00F15B8B"/>
    <w:rsid w:val="00F15F1A"/>
    <w:rsid w:val="00F175B4"/>
    <w:rsid w:val="00F201C9"/>
    <w:rsid w:val="00F21D37"/>
    <w:rsid w:val="00F222A0"/>
    <w:rsid w:val="00F22CC7"/>
    <w:rsid w:val="00F22E26"/>
    <w:rsid w:val="00F248C9"/>
    <w:rsid w:val="00F2630D"/>
    <w:rsid w:val="00F27AC4"/>
    <w:rsid w:val="00F27E4A"/>
    <w:rsid w:val="00F31609"/>
    <w:rsid w:val="00F344C6"/>
    <w:rsid w:val="00F352C7"/>
    <w:rsid w:val="00F41605"/>
    <w:rsid w:val="00F4332F"/>
    <w:rsid w:val="00F434FC"/>
    <w:rsid w:val="00F47E25"/>
    <w:rsid w:val="00F50A4A"/>
    <w:rsid w:val="00F53532"/>
    <w:rsid w:val="00F5659E"/>
    <w:rsid w:val="00F56C86"/>
    <w:rsid w:val="00F614F6"/>
    <w:rsid w:val="00F66651"/>
    <w:rsid w:val="00F66A91"/>
    <w:rsid w:val="00F67EAD"/>
    <w:rsid w:val="00F706BB"/>
    <w:rsid w:val="00F74319"/>
    <w:rsid w:val="00F748F4"/>
    <w:rsid w:val="00F77A3B"/>
    <w:rsid w:val="00F8190A"/>
    <w:rsid w:val="00F81E15"/>
    <w:rsid w:val="00F81E97"/>
    <w:rsid w:val="00F83749"/>
    <w:rsid w:val="00F8470E"/>
    <w:rsid w:val="00F92CB9"/>
    <w:rsid w:val="00F94CC7"/>
    <w:rsid w:val="00F95B66"/>
    <w:rsid w:val="00F97D16"/>
    <w:rsid w:val="00F97FCB"/>
    <w:rsid w:val="00FA0A28"/>
    <w:rsid w:val="00FA1C33"/>
    <w:rsid w:val="00FA24D0"/>
    <w:rsid w:val="00FA2EC8"/>
    <w:rsid w:val="00FA3151"/>
    <w:rsid w:val="00FA3B56"/>
    <w:rsid w:val="00FA594B"/>
    <w:rsid w:val="00FA7C7A"/>
    <w:rsid w:val="00FB34E2"/>
    <w:rsid w:val="00FB4E02"/>
    <w:rsid w:val="00FB53A2"/>
    <w:rsid w:val="00FB5593"/>
    <w:rsid w:val="00FB6799"/>
    <w:rsid w:val="00FC0DCE"/>
    <w:rsid w:val="00FC1E5B"/>
    <w:rsid w:val="00FC2C98"/>
    <w:rsid w:val="00FC3303"/>
    <w:rsid w:val="00FC3D8C"/>
    <w:rsid w:val="00FC6C3D"/>
    <w:rsid w:val="00FC7578"/>
    <w:rsid w:val="00FD1D4A"/>
    <w:rsid w:val="00FD3D4D"/>
    <w:rsid w:val="00FD4E66"/>
    <w:rsid w:val="00FD5F8B"/>
    <w:rsid w:val="00FD609E"/>
    <w:rsid w:val="00FD6567"/>
    <w:rsid w:val="00FD6A3F"/>
    <w:rsid w:val="00FD7D5F"/>
    <w:rsid w:val="00FE35BC"/>
    <w:rsid w:val="00FE69F9"/>
    <w:rsid w:val="00FF093C"/>
    <w:rsid w:val="00FF317A"/>
    <w:rsid w:val="00FF56EB"/>
    <w:rsid w:val="00FF61E8"/>
    <w:rsid w:val="00FF63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7A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unhideWhenUsed="0"/>
    <w:lsdException w:name="Default Paragraph Font" w:uiPriority="1"/>
    <w:lsdException w:name="Body Text" w:semiHidden="0" w:uiPriority="0" w:unhideWhenUsed="0" w:qFormat="1"/>
    <w:lsdException w:name="Subtitle" w:semiHidden="0" w:uiPriority="11" w:unhideWhenUsed="0"/>
    <w:lsdException w:name="Hyperlink" w:unhideWhenUsed="0" w:qFormat="1"/>
    <w:lsdException w:name="FollowedHyperlink" w:unhideWhenUsed="0" w:qFormat="1"/>
    <w:lsdException w:name="Strong" w:semiHidden="0" w:uiPriority="22" w:unhideWhenUsed="0"/>
    <w:lsdException w:name="Emphasis" w:semiHidden="0" w:uiPriority="20" w:unhideWhenUs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qFormat/>
    <w:rsid w:val="005A1F44"/>
    <w:pPr>
      <w:tabs>
        <w:tab w:val="left" w:pos="284"/>
      </w:tabs>
      <w:spacing w:line="240" w:lineRule="atLeast"/>
    </w:pPr>
    <w:rPr>
      <w:kern w:val="18"/>
    </w:rPr>
  </w:style>
  <w:style w:type="paragraph" w:styleId="Heading1">
    <w:name w:val="heading 1"/>
    <w:basedOn w:val="Normal"/>
    <w:next w:val="BodyText"/>
    <w:link w:val="Heading1Char"/>
    <w:uiPriority w:val="2"/>
    <w:qFormat/>
    <w:rsid w:val="005A1F44"/>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kern w:val="18"/>
      <w:sz w:val="30"/>
      <w:szCs w:val="28"/>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kern w:val="18"/>
      <w:sz w:val="26"/>
      <w:szCs w:val="26"/>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kern w:val="18"/>
      <w:sz w:val="22"/>
    </w:rPr>
  </w:style>
  <w:style w:type="paragraph" w:styleId="ListNumber">
    <w:name w:val="List Number"/>
    <w:basedOn w:val="Normal"/>
    <w:uiPriority w:val="11"/>
    <w:qFormat/>
    <w:rsid w:val="00886112"/>
    <w:pPr>
      <w:numPr>
        <w:numId w:val="15"/>
      </w:numPr>
      <w:tabs>
        <w:tab w:val="clear" w:pos="284"/>
      </w:tabs>
      <w:spacing w:after="120" w:line="276" w:lineRule="auto"/>
    </w:pPr>
    <w:rPr>
      <w:lang w:val="en-US"/>
    </w:r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5A1F44"/>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3A3279"/>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4"/>
    <w:qFormat/>
    <w:rsid w:val="00886112"/>
    <w:pPr>
      <w:keepNext/>
      <w:spacing w:after="120"/>
      <w:ind w:left="425"/>
    </w:pPr>
    <w:rPr>
      <w:rFonts w:asciiTheme="majorHAnsi" w:hAnsiTheme="majorHAnsi"/>
      <w:b/>
      <w:bCs/>
      <w:color w:val="00B5E2" w:themeColor="accent1"/>
      <w:sz w:val="20"/>
    </w:rPr>
  </w:style>
  <w:style w:type="paragraph" w:customStyle="1" w:styleId="Source">
    <w:name w:val="Source"/>
    <w:basedOn w:val="Normal"/>
    <w:link w:val="SourceChar"/>
    <w:qFormat/>
    <w:rsid w:val="00886112"/>
    <w:pPr>
      <w:spacing w:after="120"/>
      <w:ind w:left="425"/>
    </w:pPr>
    <w:rPr>
      <w:i/>
      <w:sz w:val="16"/>
      <w:lang w:val="en-US"/>
    </w:rPr>
  </w:style>
  <w:style w:type="paragraph" w:styleId="FootnoteText">
    <w:name w:val="footnote text"/>
    <w:basedOn w:val="Normal"/>
    <w:link w:val="FootnoteTextChar"/>
    <w:uiPriority w:val="99"/>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99"/>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Ind w:w="0" w:type="dxa"/>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Ind w:w="0" w:type="dxa"/>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Ind w:w="0" w:type="dxa"/>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Ind w:w="0" w:type="dxa"/>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CellMar>
        <w:top w:w="0" w:type="dxa"/>
        <w:left w:w="108" w:type="dxa"/>
        <w:bottom w:w="0" w:type="dxa"/>
        <w:right w:w="108" w:type="dxa"/>
      </w:tblCellMar>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CellMar>
        <w:top w:w="0" w:type="dxa"/>
        <w:left w:w="108" w:type="dxa"/>
        <w:bottom w:w="0" w:type="dxa"/>
        <w:right w:w="108" w:type="dxa"/>
      </w:tblCellMar>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CellMar>
        <w:top w:w="0" w:type="dxa"/>
        <w:left w:w="108" w:type="dxa"/>
        <w:bottom w:w="0" w:type="dxa"/>
        <w:right w:w="108" w:type="dxa"/>
      </w:tblCellMar>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CellMar>
        <w:top w:w="0" w:type="dxa"/>
        <w:left w:w="108" w:type="dxa"/>
        <w:bottom w:w="0" w:type="dxa"/>
        <w:right w:w="108" w:type="dxa"/>
      </w:tblCellMar>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CellMar>
        <w:top w:w="0" w:type="dxa"/>
        <w:left w:w="108" w:type="dxa"/>
        <w:bottom w:w="0" w:type="dxa"/>
        <w:right w:w="108" w:type="dxa"/>
      </w:tblCellMar>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CellMar>
        <w:top w:w="0" w:type="dxa"/>
        <w:left w:w="108" w:type="dxa"/>
        <w:bottom w:w="0" w:type="dxa"/>
        <w:right w:w="108" w:type="dxa"/>
      </w:tblCellMar>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9E6ED7"/>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Ind w:w="0" w:type="dxa"/>
      <w:tblCellMar>
        <w:top w:w="0" w:type="dxa"/>
        <w:left w:w="0" w:type="dxa"/>
        <w:bottom w:w="0" w:type="dxa"/>
        <w:right w:w="108"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1"/>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B5E2" w:themeColor="accent1"/>
    </w:rPr>
  </w:style>
  <w:style w:type="paragraph" w:styleId="IntenseQuote">
    <w:name w:val="Intense Quote"/>
    <w:basedOn w:val="Normal"/>
    <w:next w:val="Normal"/>
    <w:link w:val="IntenseQuoteChar"/>
    <w:uiPriority w:val="30"/>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rsid w:val="00F66A91"/>
    <w:rPr>
      <w:b/>
      <w:bCs/>
      <w:i/>
      <w:iCs/>
      <w:color w:val="00B5E2" w:themeColor="accent1"/>
      <w:kern w:val="18"/>
    </w:rPr>
  </w:style>
  <w:style w:type="character" w:styleId="IntenseReference">
    <w:name w:val="Intense Reference"/>
    <w:basedOn w:val="DefaultParagraphFont"/>
    <w:uiPriority w:val="32"/>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qFormat/>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Ind w:w="0" w:type="dxa"/>
      <w:tblCellMar>
        <w:top w:w="0" w:type="dxa"/>
        <w:left w:w="0" w:type="dxa"/>
        <w:bottom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6"/>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
    <w:qFormat/>
    <w:rsid w:val="00AA045B"/>
    <w:pPr>
      <w:tabs>
        <w:tab w:val="clear" w:pos="284"/>
      </w:tabs>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Ind w:w="0" w:type="dxa"/>
      <w:tblCellMar>
        <w:top w:w="0" w:type="dxa"/>
        <w:left w:w="108" w:type="dxa"/>
        <w:bottom w:w="0" w:type="dxa"/>
        <w:right w:w="108" w:type="dxa"/>
      </w:tblCellMar>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szCs w:val="22"/>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tabs>
        <w:tab w:val="clear" w:pos="284"/>
      </w:tabs>
      <w:spacing w:after="240"/>
    </w:pPr>
    <w:rPr>
      <w:rFonts w:ascii="Arial" w:eastAsia="Times New Roman" w:hAnsi="Arial" w:cs="Times New Roman"/>
      <w:kern w:val="0"/>
      <w:szCs w:val="26"/>
      <w:lang w:val="en-US"/>
    </w:rPr>
  </w:style>
  <w:style w:type="paragraph" w:customStyle="1" w:styleId="Default">
    <w:name w:val="Default"/>
    <w:rsid w:val="001C727A"/>
    <w:pPr>
      <w:autoSpaceDE w:val="0"/>
      <w:autoSpaceDN w:val="0"/>
      <w:adjustRightInd w:val="0"/>
    </w:pPr>
    <w:rPr>
      <w:rFonts w:ascii="Arial" w:hAnsi="Arial" w:cs="Arial"/>
      <w:color w:val="000000"/>
      <w:sz w:val="24"/>
      <w:szCs w:val="24"/>
    </w:rPr>
  </w:style>
  <w:style w:type="table" w:customStyle="1" w:styleId="AECOMtable1">
    <w:name w:val="AECOM table1"/>
    <w:basedOn w:val="TableNormal"/>
    <w:uiPriority w:val="99"/>
    <w:unhideWhenUsed/>
    <w:rsid w:val="001C727A"/>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numbering" w:customStyle="1" w:styleId="AECOMBullets1">
    <w:name w:val="AECOM_Bullets1"/>
    <w:basedOn w:val="NoList"/>
    <w:uiPriority w:val="99"/>
    <w:semiHidden/>
    <w:unhideWhenUsed/>
    <w:rsid w:val="001E7776"/>
  </w:style>
  <w:style w:type="numbering" w:customStyle="1" w:styleId="AECOMList1">
    <w:name w:val="AECOM_List1"/>
    <w:basedOn w:val="NoList"/>
    <w:uiPriority w:val="99"/>
    <w:semiHidden/>
    <w:unhideWhenUsed/>
    <w:rsid w:val="001E7776"/>
  </w:style>
  <w:style w:type="numbering" w:customStyle="1" w:styleId="AECOMNumbering1">
    <w:name w:val="AECOM Numbering1"/>
    <w:basedOn w:val="NoList"/>
    <w:uiPriority w:val="99"/>
    <w:semiHidden/>
    <w:unhideWhenUsed/>
    <w:rsid w:val="001E7776"/>
  </w:style>
  <w:style w:type="numbering" w:customStyle="1" w:styleId="AECOMAppendix1">
    <w:name w:val="AECOM Appendix1"/>
    <w:uiPriority w:val="99"/>
    <w:semiHidden/>
    <w:unhideWhenUsed/>
    <w:rsid w:val="001E7776"/>
  </w:style>
  <w:style w:type="character" w:customStyle="1" w:styleId="UnresolvedMention">
    <w:name w:val="Unresolved Mention"/>
    <w:basedOn w:val="DefaultParagraphFont"/>
    <w:uiPriority w:val="99"/>
    <w:semiHidden/>
    <w:unhideWhenUsed/>
    <w:rsid w:val="001E7776"/>
    <w:rPr>
      <w:color w:val="605E5C"/>
      <w:shd w:val="clear" w:color="auto" w:fill="E1DFDD"/>
    </w:rPr>
  </w:style>
  <w:style w:type="table" w:customStyle="1" w:styleId="TableGrid20">
    <w:name w:val="Table Grid2"/>
    <w:basedOn w:val="TableNormal"/>
    <w:next w:val="TableGrid"/>
    <w:uiPriority w:val="59"/>
    <w:unhideWhenUsed/>
    <w:rsid w:val="001E7776"/>
    <w:rPr>
      <w:rFonts w:ascii="Arial" w:eastAsia="SimSun"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character" w:customStyle="1" w:styleId="SourceChar">
    <w:name w:val="Source Char"/>
    <w:link w:val="Source"/>
    <w:rsid w:val="001E7776"/>
    <w:rPr>
      <w:i/>
      <w:kern w:val="18"/>
      <w:sz w:val="16"/>
      <w:lang w:val="en-US"/>
    </w:rPr>
  </w:style>
  <w:style w:type="table" w:customStyle="1" w:styleId="Style1">
    <w:name w:val="Style1"/>
    <w:basedOn w:val="TableNormal"/>
    <w:uiPriority w:val="99"/>
    <w:rsid w:val="001E7776"/>
    <w:rPr>
      <w:rFonts w:ascii="Arial" w:eastAsia="Arial" w:hAnsi="Arial"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000000"/>
      </w:tcPr>
    </w:tblStylePr>
  </w:style>
  <w:style w:type="table" w:customStyle="1" w:styleId="TableGrid30">
    <w:name w:val="Table Grid3"/>
    <w:basedOn w:val="TableNormal"/>
    <w:next w:val="TableGrid"/>
    <w:uiPriority w:val="59"/>
    <w:unhideWhenUsed/>
    <w:rsid w:val="001E7776"/>
    <w:rPr>
      <w:rFonts w:ascii="Arial" w:eastAsia="Arial"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TableGrid10">
    <w:name w:val="Table Grid1"/>
    <w:basedOn w:val="TableNormal"/>
    <w:next w:val="TableGrid"/>
    <w:uiPriority w:val="59"/>
    <w:unhideWhenUsed/>
    <w:rsid w:val="001E7776"/>
    <w:rPr>
      <w:rFonts w:ascii="Arial" w:eastAsia="Arial"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TableGrid11">
    <w:name w:val="Table Grid11"/>
    <w:basedOn w:val="TableNormal"/>
    <w:next w:val="TableGrid"/>
    <w:uiPriority w:val="59"/>
    <w:rsid w:val="001E7776"/>
    <w:rPr>
      <w:rFonts w:ascii="Arial" w:eastAsia="Arial" w:hAnsi="Arial" w:cs="Times New Roman"/>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1">
    <w:name w:val="Footnote Reference1"/>
    <w:uiPriority w:val="99"/>
    <w:unhideWhenUsed/>
    <w:rsid w:val="001E7776"/>
    <w:rPr>
      <w:rFonts w:ascii="Arial" w:hAnsi="Arial"/>
      <w:color w:val="auto"/>
      <w:vertAlign w:val="superscript"/>
    </w:rPr>
  </w:style>
  <w:style w:type="table" w:customStyle="1" w:styleId="Style11">
    <w:name w:val="Style11"/>
    <w:basedOn w:val="TableNormal"/>
    <w:uiPriority w:val="99"/>
    <w:rsid w:val="001E7776"/>
    <w:pPr>
      <w:ind w:left="567"/>
    </w:pPr>
    <w:rPr>
      <w:rFonts w:ascii="Arial" w:eastAsia="Arial" w:hAnsi="Arial"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tblPr/>
      <w:tcPr>
        <w:shd w:val="clear" w:color="auto" w:fill="000000"/>
      </w:tcPr>
    </w:tblStylePr>
  </w:style>
  <w:style w:type="table" w:customStyle="1" w:styleId="TableGrid21">
    <w:name w:val="Table Grid21"/>
    <w:basedOn w:val="TableNormal"/>
    <w:next w:val="TableGrid"/>
    <w:uiPriority w:val="59"/>
    <w:unhideWhenUsed/>
    <w:rsid w:val="001E7776"/>
    <w:rPr>
      <w:rFonts w:ascii="Arial" w:eastAsia="Arial"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unhideWhenUsed="0"/>
    <w:lsdException w:name="Default Paragraph Font" w:uiPriority="1"/>
    <w:lsdException w:name="Body Text" w:semiHidden="0" w:uiPriority="0" w:unhideWhenUsed="0" w:qFormat="1"/>
    <w:lsdException w:name="Subtitle" w:semiHidden="0" w:uiPriority="11" w:unhideWhenUsed="0"/>
    <w:lsdException w:name="Hyperlink" w:unhideWhenUsed="0" w:qFormat="1"/>
    <w:lsdException w:name="FollowedHyperlink" w:unhideWhenUsed="0" w:qFormat="1"/>
    <w:lsdException w:name="Strong" w:semiHidden="0" w:uiPriority="22" w:unhideWhenUsed="0"/>
    <w:lsdException w:name="Emphasis" w:semiHidden="0" w:uiPriority="20" w:unhideWhenUs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qFormat/>
    <w:rsid w:val="005A1F44"/>
    <w:pPr>
      <w:tabs>
        <w:tab w:val="left" w:pos="284"/>
      </w:tabs>
      <w:spacing w:line="240" w:lineRule="atLeast"/>
    </w:pPr>
    <w:rPr>
      <w:kern w:val="18"/>
    </w:rPr>
  </w:style>
  <w:style w:type="paragraph" w:styleId="Heading1">
    <w:name w:val="heading 1"/>
    <w:basedOn w:val="Normal"/>
    <w:next w:val="BodyText"/>
    <w:link w:val="Heading1Char"/>
    <w:uiPriority w:val="2"/>
    <w:qFormat/>
    <w:rsid w:val="005A1F44"/>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kern w:val="18"/>
      <w:sz w:val="30"/>
      <w:szCs w:val="28"/>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kern w:val="18"/>
      <w:sz w:val="26"/>
      <w:szCs w:val="26"/>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kern w:val="18"/>
      <w:sz w:val="22"/>
    </w:rPr>
  </w:style>
  <w:style w:type="paragraph" w:styleId="ListNumber">
    <w:name w:val="List Number"/>
    <w:basedOn w:val="Normal"/>
    <w:uiPriority w:val="11"/>
    <w:qFormat/>
    <w:rsid w:val="00886112"/>
    <w:pPr>
      <w:numPr>
        <w:numId w:val="15"/>
      </w:numPr>
      <w:tabs>
        <w:tab w:val="clear" w:pos="284"/>
      </w:tabs>
      <w:spacing w:after="120" w:line="276" w:lineRule="auto"/>
    </w:pPr>
    <w:rPr>
      <w:lang w:val="en-US"/>
    </w:r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5A1F44"/>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3A3279"/>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4"/>
    <w:qFormat/>
    <w:rsid w:val="00886112"/>
    <w:pPr>
      <w:keepNext/>
      <w:spacing w:after="120"/>
      <w:ind w:left="425"/>
    </w:pPr>
    <w:rPr>
      <w:rFonts w:asciiTheme="majorHAnsi" w:hAnsiTheme="majorHAnsi"/>
      <w:b/>
      <w:bCs/>
      <w:color w:val="00B5E2" w:themeColor="accent1"/>
      <w:sz w:val="20"/>
    </w:rPr>
  </w:style>
  <w:style w:type="paragraph" w:customStyle="1" w:styleId="Source">
    <w:name w:val="Source"/>
    <w:basedOn w:val="Normal"/>
    <w:link w:val="SourceChar"/>
    <w:qFormat/>
    <w:rsid w:val="00886112"/>
    <w:pPr>
      <w:spacing w:after="120"/>
      <w:ind w:left="425"/>
    </w:pPr>
    <w:rPr>
      <w:i/>
      <w:sz w:val="16"/>
      <w:lang w:val="en-US"/>
    </w:rPr>
  </w:style>
  <w:style w:type="paragraph" w:styleId="FootnoteText">
    <w:name w:val="footnote text"/>
    <w:basedOn w:val="Normal"/>
    <w:link w:val="FootnoteTextChar"/>
    <w:uiPriority w:val="99"/>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99"/>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Ind w:w="0" w:type="dxa"/>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Ind w:w="0" w:type="dxa"/>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Ind w:w="0" w:type="dxa"/>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Ind w:w="0" w:type="dxa"/>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CellMar>
        <w:top w:w="0" w:type="dxa"/>
        <w:left w:w="108" w:type="dxa"/>
        <w:bottom w:w="0" w:type="dxa"/>
        <w:right w:w="108" w:type="dxa"/>
      </w:tblCellMar>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CellMar>
        <w:top w:w="0" w:type="dxa"/>
        <w:left w:w="108" w:type="dxa"/>
        <w:bottom w:w="0" w:type="dxa"/>
        <w:right w:w="108" w:type="dxa"/>
      </w:tblCellMar>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CellMar>
        <w:top w:w="0" w:type="dxa"/>
        <w:left w:w="108" w:type="dxa"/>
        <w:bottom w:w="0" w:type="dxa"/>
        <w:right w:w="108" w:type="dxa"/>
      </w:tblCellMar>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CellMar>
        <w:top w:w="0" w:type="dxa"/>
        <w:left w:w="108" w:type="dxa"/>
        <w:bottom w:w="0" w:type="dxa"/>
        <w:right w:w="108" w:type="dxa"/>
      </w:tblCellMar>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CellMar>
        <w:top w:w="0" w:type="dxa"/>
        <w:left w:w="108" w:type="dxa"/>
        <w:bottom w:w="0" w:type="dxa"/>
        <w:right w:w="108" w:type="dxa"/>
      </w:tblCellMar>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CellMar>
        <w:top w:w="0" w:type="dxa"/>
        <w:left w:w="108" w:type="dxa"/>
        <w:bottom w:w="0" w:type="dxa"/>
        <w:right w:w="108" w:type="dxa"/>
      </w:tblCellMar>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9E6ED7"/>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Ind w:w="0" w:type="dxa"/>
      <w:tblCellMar>
        <w:top w:w="0" w:type="dxa"/>
        <w:left w:w="0" w:type="dxa"/>
        <w:bottom w:w="0" w:type="dxa"/>
        <w:right w:w="108"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1"/>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B5E2" w:themeColor="accent1"/>
    </w:rPr>
  </w:style>
  <w:style w:type="paragraph" w:styleId="IntenseQuote">
    <w:name w:val="Intense Quote"/>
    <w:basedOn w:val="Normal"/>
    <w:next w:val="Normal"/>
    <w:link w:val="IntenseQuoteChar"/>
    <w:uiPriority w:val="30"/>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rsid w:val="00F66A91"/>
    <w:rPr>
      <w:b/>
      <w:bCs/>
      <w:i/>
      <w:iCs/>
      <w:color w:val="00B5E2" w:themeColor="accent1"/>
      <w:kern w:val="18"/>
    </w:rPr>
  </w:style>
  <w:style w:type="character" w:styleId="IntenseReference">
    <w:name w:val="Intense Reference"/>
    <w:basedOn w:val="DefaultParagraphFont"/>
    <w:uiPriority w:val="32"/>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qFormat/>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Ind w:w="0" w:type="dxa"/>
      <w:tblCellMar>
        <w:top w:w="0" w:type="dxa"/>
        <w:left w:w="0" w:type="dxa"/>
        <w:bottom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6"/>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
    <w:qFormat/>
    <w:rsid w:val="00AA045B"/>
    <w:pPr>
      <w:tabs>
        <w:tab w:val="clear" w:pos="284"/>
      </w:tabs>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Ind w:w="0" w:type="dxa"/>
      <w:tblCellMar>
        <w:top w:w="0" w:type="dxa"/>
        <w:left w:w="108" w:type="dxa"/>
        <w:bottom w:w="0" w:type="dxa"/>
        <w:right w:w="108" w:type="dxa"/>
      </w:tblCellMar>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szCs w:val="22"/>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tabs>
        <w:tab w:val="clear" w:pos="284"/>
      </w:tabs>
      <w:spacing w:after="240"/>
    </w:pPr>
    <w:rPr>
      <w:rFonts w:ascii="Arial" w:eastAsia="Times New Roman" w:hAnsi="Arial" w:cs="Times New Roman"/>
      <w:kern w:val="0"/>
      <w:szCs w:val="26"/>
      <w:lang w:val="en-US"/>
    </w:rPr>
  </w:style>
  <w:style w:type="paragraph" w:customStyle="1" w:styleId="Default">
    <w:name w:val="Default"/>
    <w:rsid w:val="001C727A"/>
    <w:pPr>
      <w:autoSpaceDE w:val="0"/>
      <w:autoSpaceDN w:val="0"/>
      <w:adjustRightInd w:val="0"/>
    </w:pPr>
    <w:rPr>
      <w:rFonts w:ascii="Arial" w:hAnsi="Arial" w:cs="Arial"/>
      <w:color w:val="000000"/>
      <w:sz w:val="24"/>
      <w:szCs w:val="24"/>
    </w:rPr>
  </w:style>
  <w:style w:type="table" w:customStyle="1" w:styleId="AECOMtable1">
    <w:name w:val="AECOM table1"/>
    <w:basedOn w:val="TableNormal"/>
    <w:uiPriority w:val="99"/>
    <w:unhideWhenUsed/>
    <w:rsid w:val="001C727A"/>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numbering" w:customStyle="1" w:styleId="AECOMBullets1">
    <w:name w:val="AECOM_Bullets1"/>
    <w:basedOn w:val="NoList"/>
    <w:uiPriority w:val="99"/>
    <w:semiHidden/>
    <w:unhideWhenUsed/>
    <w:rsid w:val="001E7776"/>
  </w:style>
  <w:style w:type="numbering" w:customStyle="1" w:styleId="AECOMList1">
    <w:name w:val="AECOM_List1"/>
    <w:basedOn w:val="NoList"/>
    <w:uiPriority w:val="99"/>
    <w:semiHidden/>
    <w:unhideWhenUsed/>
    <w:rsid w:val="001E7776"/>
  </w:style>
  <w:style w:type="numbering" w:customStyle="1" w:styleId="AECOMNumbering1">
    <w:name w:val="AECOM Numbering1"/>
    <w:basedOn w:val="NoList"/>
    <w:uiPriority w:val="99"/>
    <w:semiHidden/>
    <w:unhideWhenUsed/>
    <w:rsid w:val="001E7776"/>
  </w:style>
  <w:style w:type="numbering" w:customStyle="1" w:styleId="AECOMAppendix1">
    <w:name w:val="AECOM Appendix1"/>
    <w:uiPriority w:val="99"/>
    <w:semiHidden/>
    <w:unhideWhenUsed/>
    <w:rsid w:val="001E7776"/>
  </w:style>
  <w:style w:type="character" w:customStyle="1" w:styleId="UnresolvedMention">
    <w:name w:val="Unresolved Mention"/>
    <w:basedOn w:val="DefaultParagraphFont"/>
    <w:uiPriority w:val="99"/>
    <w:semiHidden/>
    <w:unhideWhenUsed/>
    <w:rsid w:val="001E7776"/>
    <w:rPr>
      <w:color w:val="605E5C"/>
      <w:shd w:val="clear" w:color="auto" w:fill="E1DFDD"/>
    </w:rPr>
  </w:style>
  <w:style w:type="table" w:customStyle="1" w:styleId="TableGrid20">
    <w:name w:val="Table Grid2"/>
    <w:basedOn w:val="TableNormal"/>
    <w:next w:val="TableGrid"/>
    <w:uiPriority w:val="59"/>
    <w:unhideWhenUsed/>
    <w:rsid w:val="001E7776"/>
    <w:rPr>
      <w:rFonts w:ascii="Arial" w:eastAsia="SimSun"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character" w:customStyle="1" w:styleId="SourceChar">
    <w:name w:val="Source Char"/>
    <w:link w:val="Source"/>
    <w:rsid w:val="001E7776"/>
    <w:rPr>
      <w:i/>
      <w:kern w:val="18"/>
      <w:sz w:val="16"/>
      <w:lang w:val="en-US"/>
    </w:rPr>
  </w:style>
  <w:style w:type="table" w:customStyle="1" w:styleId="Style1">
    <w:name w:val="Style1"/>
    <w:basedOn w:val="TableNormal"/>
    <w:uiPriority w:val="99"/>
    <w:rsid w:val="001E7776"/>
    <w:rPr>
      <w:rFonts w:ascii="Arial" w:eastAsia="Arial" w:hAnsi="Arial"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000000"/>
      </w:tcPr>
    </w:tblStylePr>
  </w:style>
  <w:style w:type="table" w:customStyle="1" w:styleId="TableGrid30">
    <w:name w:val="Table Grid3"/>
    <w:basedOn w:val="TableNormal"/>
    <w:next w:val="TableGrid"/>
    <w:uiPriority w:val="59"/>
    <w:unhideWhenUsed/>
    <w:rsid w:val="001E7776"/>
    <w:rPr>
      <w:rFonts w:ascii="Arial" w:eastAsia="Arial"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TableGrid10">
    <w:name w:val="Table Grid1"/>
    <w:basedOn w:val="TableNormal"/>
    <w:next w:val="TableGrid"/>
    <w:uiPriority w:val="59"/>
    <w:unhideWhenUsed/>
    <w:rsid w:val="001E7776"/>
    <w:rPr>
      <w:rFonts w:ascii="Arial" w:eastAsia="Arial"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TableGrid11">
    <w:name w:val="Table Grid11"/>
    <w:basedOn w:val="TableNormal"/>
    <w:next w:val="TableGrid"/>
    <w:uiPriority w:val="59"/>
    <w:rsid w:val="001E7776"/>
    <w:rPr>
      <w:rFonts w:ascii="Arial" w:eastAsia="Arial" w:hAnsi="Arial" w:cs="Times New Roman"/>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1">
    <w:name w:val="Footnote Reference1"/>
    <w:uiPriority w:val="99"/>
    <w:unhideWhenUsed/>
    <w:rsid w:val="001E7776"/>
    <w:rPr>
      <w:rFonts w:ascii="Arial" w:hAnsi="Arial"/>
      <w:color w:val="auto"/>
      <w:vertAlign w:val="superscript"/>
    </w:rPr>
  </w:style>
  <w:style w:type="table" w:customStyle="1" w:styleId="Style11">
    <w:name w:val="Style11"/>
    <w:basedOn w:val="TableNormal"/>
    <w:uiPriority w:val="99"/>
    <w:rsid w:val="001E7776"/>
    <w:pPr>
      <w:ind w:left="567"/>
    </w:pPr>
    <w:rPr>
      <w:rFonts w:ascii="Arial" w:eastAsia="Arial" w:hAnsi="Arial"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tblPr/>
      <w:tcPr>
        <w:shd w:val="clear" w:color="auto" w:fill="000000"/>
      </w:tcPr>
    </w:tblStylePr>
  </w:style>
  <w:style w:type="table" w:customStyle="1" w:styleId="TableGrid21">
    <w:name w:val="Table Grid21"/>
    <w:basedOn w:val="TableNormal"/>
    <w:next w:val="TableGrid"/>
    <w:uiPriority w:val="59"/>
    <w:unhideWhenUsed/>
    <w:rsid w:val="001E7776"/>
    <w:rPr>
      <w:rFonts w:ascii="Arial" w:eastAsia="Arial" w:hAnsi="Arial" w:cs="Times New Roman"/>
      <w:sz w:val="16"/>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2967">
      <w:bodyDiv w:val="1"/>
      <w:marLeft w:val="0"/>
      <w:marRight w:val="0"/>
      <w:marTop w:val="0"/>
      <w:marBottom w:val="0"/>
      <w:divBdr>
        <w:top w:val="none" w:sz="0" w:space="0" w:color="auto"/>
        <w:left w:val="none" w:sz="0" w:space="0" w:color="auto"/>
        <w:bottom w:val="none" w:sz="0" w:space="0" w:color="auto"/>
        <w:right w:val="none" w:sz="0" w:space="0" w:color="auto"/>
      </w:divBdr>
    </w:div>
    <w:div w:id="80101265">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282347372">
      <w:bodyDiv w:val="1"/>
      <w:marLeft w:val="0"/>
      <w:marRight w:val="0"/>
      <w:marTop w:val="0"/>
      <w:marBottom w:val="0"/>
      <w:divBdr>
        <w:top w:val="none" w:sz="0" w:space="0" w:color="auto"/>
        <w:left w:val="none" w:sz="0" w:space="0" w:color="auto"/>
        <w:bottom w:val="none" w:sz="0" w:space="0" w:color="auto"/>
        <w:right w:val="none" w:sz="0" w:space="0" w:color="auto"/>
      </w:divBdr>
    </w:div>
    <w:div w:id="341707490">
      <w:bodyDiv w:val="1"/>
      <w:marLeft w:val="0"/>
      <w:marRight w:val="0"/>
      <w:marTop w:val="0"/>
      <w:marBottom w:val="0"/>
      <w:divBdr>
        <w:top w:val="none" w:sz="0" w:space="0" w:color="auto"/>
        <w:left w:val="none" w:sz="0" w:space="0" w:color="auto"/>
        <w:bottom w:val="none" w:sz="0" w:space="0" w:color="auto"/>
        <w:right w:val="none" w:sz="0" w:space="0" w:color="auto"/>
      </w:divBdr>
    </w:div>
    <w:div w:id="348802871">
      <w:bodyDiv w:val="1"/>
      <w:marLeft w:val="0"/>
      <w:marRight w:val="0"/>
      <w:marTop w:val="0"/>
      <w:marBottom w:val="0"/>
      <w:divBdr>
        <w:top w:val="none" w:sz="0" w:space="0" w:color="auto"/>
        <w:left w:val="none" w:sz="0" w:space="0" w:color="auto"/>
        <w:bottom w:val="none" w:sz="0" w:space="0" w:color="auto"/>
        <w:right w:val="none" w:sz="0" w:space="0" w:color="auto"/>
      </w:divBdr>
    </w:div>
    <w:div w:id="429010801">
      <w:bodyDiv w:val="1"/>
      <w:marLeft w:val="0"/>
      <w:marRight w:val="0"/>
      <w:marTop w:val="0"/>
      <w:marBottom w:val="0"/>
      <w:divBdr>
        <w:top w:val="none" w:sz="0" w:space="0" w:color="auto"/>
        <w:left w:val="none" w:sz="0" w:space="0" w:color="auto"/>
        <w:bottom w:val="none" w:sz="0" w:space="0" w:color="auto"/>
        <w:right w:val="none" w:sz="0" w:space="0" w:color="auto"/>
      </w:divBdr>
    </w:div>
    <w:div w:id="618922657">
      <w:bodyDiv w:val="1"/>
      <w:marLeft w:val="0"/>
      <w:marRight w:val="0"/>
      <w:marTop w:val="0"/>
      <w:marBottom w:val="0"/>
      <w:divBdr>
        <w:top w:val="none" w:sz="0" w:space="0" w:color="auto"/>
        <w:left w:val="none" w:sz="0" w:space="0" w:color="auto"/>
        <w:bottom w:val="none" w:sz="0" w:space="0" w:color="auto"/>
        <w:right w:val="none" w:sz="0" w:space="0" w:color="auto"/>
      </w:divBdr>
    </w:div>
    <w:div w:id="662704325">
      <w:bodyDiv w:val="1"/>
      <w:marLeft w:val="0"/>
      <w:marRight w:val="0"/>
      <w:marTop w:val="0"/>
      <w:marBottom w:val="0"/>
      <w:divBdr>
        <w:top w:val="none" w:sz="0" w:space="0" w:color="auto"/>
        <w:left w:val="none" w:sz="0" w:space="0" w:color="auto"/>
        <w:bottom w:val="none" w:sz="0" w:space="0" w:color="auto"/>
        <w:right w:val="none" w:sz="0" w:space="0" w:color="auto"/>
      </w:divBdr>
    </w:div>
    <w:div w:id="700131777">
      <w:bodyDiv w:val="1"/>
      <w:marLeft w:val="0"/>
      <w:marRight w:val="0"/>
      <w:marTop w:val="0"/>
      <w:marBottom w:val="0"/>
      <w:divBdr>
        <w:top w:val="none" w:sz="0" w:space="0" w:color="auto"/>
        <w:left w:val="none" w:sz="0" w:space="0" w:color="auto"/>
        <w:bottom w:val="none" w:sz="0" w:space="0" w:color="auto"/>
        <w:right w:val="none" w:sz="0" w:space="0" w:color="auto"/>
      </w:divBdr>
    </w:div>
    <w:div w:id="700252553">
      <w:bodyDiv w:val="1"/>
      <w:marLeft w:val="0"/>
      <w:marRight w:val="0"/>
      <w:marTop w:val="0"/>
      <w:marBottom w:val="0"/>
      <w:divBdr>
        <w:top w:val="none" w:sz="0" w:space="0" w:color="auto"/>
        <w:left w:val="none" w:sz="0" w:space="0" w:color="auto"/>
        <w:bottom w:val="none" w:sz="0" w:space="0" w:color="auto"/>
        <w:right w:val="none" w:sz="0" w:space="0" w:color="auto"/>
      </w:divBdr>
    </w:div>
    <w:div w:id="735473961">
      <w:bodyDiv w:val="1"/>
      <w:marLeft w:val="0"/>
      <w:marRight w:val="0"/>
      <w:marTop w:val="0"/>
      <w:marBottom w:val="0"/>
      <w:divBdr>
        <w:top w:val="none" w:sz="0" w:space="0" w:color="auto"/>
        <w:left w:val="none" w:sz="0" w:space="0" w:color="auto"/>
        <w:bottom w:val="none" w:sz="0" w:space="0" w:color="auto"/>
        <w:right w:val="none" w:sz="0" w:space="0" w:color="auto"/>
      </w:divBdr>
    </w:div>
    <w:div w:id="194467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ifetimehomes.org.uk/" TargetMode="Externa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www.babergh.gov.uk/assets/Strategic-Planning/Current-Evidence-Base/SHMA-Part-2-update-2019.pdf" TargetMode="External"/><Relationship Id="rId7" Type="http://schemas.openxmlformats.org/officeDocument/2006/relationships/hyperlink" Target="https://www.gov.uk/guidance/dwelling-stock-data-notes-and-definitions-includes-hfr-full-guidance-notes-and-returns-form" TargetMode="External"/><Relationship Id="rId2" Type="http://schemas.openxmlformats.org/officeDocument/2006/relationships/hyperlink" Target="https://www.babergh.gov.uk/assets/Strategic-Planning/Current-Evidence-Base/SHMA-Pt2-Sept-2017-2.pdf" TargetMode="External"/><Relationship Id="rId1" Type="http://schemas.openxmlformats.org/officeDocument/2006/relationships/hyperlink" Target="https://www.babergh.gov.uk/assets/Strategic-Planning/Current-Evidence-Base/Ipswich-and-Waveney-Housing-Market-Areas-Strategic-Housing-Market-Assessment-Part-1-May-2017.pdf" TargetMode="External"/><Relationship Id="rId6" Type="http://schemas.openxmlformats.org/officeDocument/2006/relationships/hyperlink" Target="https://www.midsuffolk.gov.uk/assets/Strategic-Planning/Babergh-Core-Strategy/CORE-STRATEGY-AND-POLICIES-FINAL-Feb-2014.pdf" TargetMode="External"/><Relationship Id="rId5" Type="http://schemas.openxmlformats.org/officeDocument/2006/relationships/hyperlink" Target="https://www.gov.uk/guidance/housing-and-economic-development-needs-assessments" TargetMode="External"/><Relationship Id="rId4" Type="http://schemas.openxmlformats.org/officeDocument/2006/relationships/hyperlink" Target="https://www.gov.uk/guidance/housing-and-economic-development-needs-assess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e.honey\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1A823-880E-48AC-84A2-8A3A8FA1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1</TotalTime>
  <Pages>34</Pages>
  <Words>13080</Words>
  <Characters>74561</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Report HNA Template  2017-06-29</vt:lpstr>
    </vt:vector>
  </TitlesOfParts>
  <Company>AECOM Limited</Company>
  <LinksUpToDate>false</LinksUpToDate>
  <CharactersWithSpaces>87467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HNA Template  2017-06-29</dc:title>
  <dc:creator>Corbin, Thomas</dc:creator>
  <cp:keywords>Project ref:   Project number:</cp:keywords>
  <cp:lastModifiedBy>Laura Butters</cp:lastModifiedBy>
  <cp:revision>2</cp:revision>
  <cp:lastPrinted>2018-03-19T09:05:00Z</cp:lastPrinted>
  <dcterms:created xsi:type="dcterms:W3CDTF">2020-02-05T12:30:00Z</dcterms:created>
  <dcterms:modified xsi:type="dcterms:W3CDTF">2020-02-05T12:30:00Z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1.7</vt:lpwstr>
  </property>
  <property fmtid="{D5CDD505-2E9C-101B-9397-08002B2CF9AE}" pid="4" name="HeaderTitle">
    <vt:lpwstr>HNA Template </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June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HNA Template </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ies>
</file>